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6185A" w:rsidRDefault="00E90A13">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w:t>
      </w:r>
      <w:r w:rsidR="00AC2E34">
        <w:rPr>
          <w:rFonts w:ascii="Arial" w:hAnsi="Arial" w:cs="Arial"/>
          <w:b/>
          <w:bCs/>
          <w:sz w:val="22"/>
          <w:szCs w:val="22"/>
        </w:rPr>
        <w:t xml:space="preserve"> Meeting</w:t>
      </w:r>
      <w:r>
        <w:rPr>
          <w:rFonts w:ascii="Arial" w:hAnsi="Arial" w:cs="Arial"/>
          <w:b/>
          <w:bCs/>
          <w:sz w:val="22"/>
          <w:szCs w:val="22"/>
        </w:rPr>
        <w:t xml:space="preserve"> </w:t>
      </w:r>
      <w:r>
        <w:rPr>
          <w:rFonts w:ascii="Arial" w:hAnsi="Arial" w:cs="Arial" w:hint="eastAsia"/>
          <w:b/>
          <w:bCs/>
          <w:sz w:val="22"/>
          <w:szCs w:val="22"/>
        </w:rPr>
        <w:t>#95-e</w:t>
      </w:r>
      <w:r>
        <w:rPr>
          <w:rFonts w:ascii="Arial" w:hAnsi="Arial" w:cs="Arial"/>
          <w:b/>
          <w:bCs/>
          <w:sz w:val="22"/>
          <w:szCs w:val="22"/>
        </w:rPr>
        <w:tab/>
      </w:r>
      <w:r>
        <w:rPr>
          <w:rFonts w:ascii="Arial" w:hAnsi="Arial" w:cs="Arial"/>
          <w:b/>
          <w:bCs/>
          <w:sz w:val="22"/>
          <w:szCs w:val="22"/>
        </w:rPr>
        <w:tab/>
        <w:t>R</w:t>
      </w:r>
      <w:r>
        <w:rPr>
          <w:rFonts w:ascii="Arial" w:hAnsi="Arial" w:cs="Arial" w:hint="eastAsia"/>
          <w:b/>
          <w:bCs/>
          <w:sz w:val="22"/>
          <w:szCs w:val="22"/>
        </w:rPr>
        <w:t>P</w:t>
      </w:r>
      <w:r>
        <w:rPr>
          <w:rFonts w:ascii="Arial" w:hAnsi="Arial" w:cs="Arial"/>
          <w:b/>
          <w:bCs/>
          <w:sz w:val="22"/>
          <w:szCs w:val="22"/>
        </w:rPr>
        <w:t>-</w:t>
      </w:r>
      <w:r>
        <w:rPr>
          <w:rFonts w:ascii="Arial" w:hAnsi="Arial" w:cs="Arial" w:hint="eastAsia"/>
          <w:b/>
          <w:bCs/>
          <w:sz w:val="22"/>
          <w:szCs w:val="22"/>
        </w:rPr>
        <w:t>220666</w:t>
      </w:r>
    </w:p>
    <w:p w:rsidR="0006185A" w:rsidRDefault="00E90A13">
      <w:pPr>
        <w:tabs>
          <w:tab w:val="center" w:pos="4536"/>
          <w:tab w:val="right" w:pos="9639"/>
        </w:tabs>
        <w:spacing w:beforeLines="0" w:after="120"/>
        <w:ind w:right="2"/>
        <w:rPr>
          <w:rFonts w:ascii="Arial" w:hAnsi="Arial" w:cs="Arial"/>
          <w:b/>
          <w:bCs/>
          <w:sz w:val="22"/>
          <w:szCs w:val="22"/>
        </w:rPr>
      </w:pPr>
      <w:r>
        <w:rPr>
          <w:rFonts w:ascii="Arial" w:hAnsi="Arial" w:cs="Arial" w:hint="eastAsia"/>
          <w:b/>
          <w:bCs/>
          <w:sz w:val="22"/>
          <w:szCs w:val="22"/>
        </w:rPr>
        <w:t>e-Meeting</w:t>
      </w:r>
      <w:r>
        <w:rPr>
          <w:rFonts w:ascii="Arial" w:hAnsi="Arial" w:cs="Arial"/>
          <w:b/>
          <w:bCs/>
          <w:sz w:val="22"/>
          <w:szCs w:val="22"/>
        </w:rPr>
        <w:t xml:space="preserve">, </w:t>
      </w:r>
      <w:r>
        <w:rPr>
          <w:rFonts w:ascii="Arial" w:hAnsi="Arial" w:cs="Arial" w:hint="eastAsia"/>
          <w:b/>
          <w:bCs/>
          <w:sz w:val="22"/>
          <w:szCs w:val="22"/>
        </w:rPr>
        <w:t>March 17</w:t>
      </w:r>
      <w:r>
        <w:rPr>
          <w:rFonts w:ascii="Arial" w:hAnsi="Arial" w:cs="Arial" w:hint="eastAsia"/>
          <w:b/>
          <w:bCs/>
          <w:sz w:val="22"/>
          <w:szCs w:val="22"/>
          <w:vertAlign w:val="superscript"/>
        </w:rPr>
        <w:t>th</w:t>
      </w:r>
      <w:r>
        <w:rPr>
          <w:rFonts w:ascii="Arial" w:hAnsi="Arial" w:cs="Arial"/>
          <w:b/>
          <w:bCs/>
          <w:sz w:val="22"/>
          <w:szCs w:val="22"/>
        </w:rPr>
        <w:t xml:space="preserve"> – </w:t>
      </w:r>
      <w:r>
        <w:rPr>
          <w:rFonts w:ascii="Arial" w:hAnsi="Arial" w:cs="Arial" w:hint="eastAsia"/>
          <w:b/>
          <w:bCs/>
          <w:sz w:val="22"/>
          <w:szCs w:val="22"/>
        </w:rPr>
        <w:t>March 23</w:t>
      </w:r>
      <w:r>
        <w:rPr>
          <w:rFonts w:ascii="Arial" w:hAnsi="Arial" w:cs="Arial" w:hint="eastAsia"/>
          <w:b/>
          <w:bCs/>
          <w:sz w:val="22"/>
          <w:szCs w:val="22"/>
          <w:vertAlign w:val="superscript"/>
        </w:rPr>
        <w:t>rd</w:t>
      </w:r>
      <w:r>
        <w:rPr>
          <w:rFonts w:ascii="Arial" w:hAnsi="Arial" w:cs="Arial"/>
          <w:b/>
          <w:bCs/>
          <w:sz w:val="22"/>
          <w:szCs w:val="22"/>
        </w:rPr>
        <w:t xml:space="preserve"> </w:t>
      </w:r>
      <w:r>
        <w:rPr>
          <w:rFonts w:ascii="Arial" w:hAnsi="Arial" w:cs="Arial" w:hint="eastAsia"/>
          <w:b/>
          <w:bCs/>
          <w:sz w:val="22"/>
          <w:szCs w:val="22"/>
        </w:rPr>
        <w:t>,</w:t>
      </w:r>
      <w:r w:rsidR="00DE7753">
        <w:rPr>
          <w:rFonts w:ascii="Arial" w:hAnsi="Arial" w:cs="Arial"/>
          <w:b/>
          <w:bCs/>
          <w:sz w:val="22"/>
          <w:szCs w:val="22"/>
        </w:rPr>
        <w:t xml:space="preserve"> </w:t>
      </w:r>
      <w:r>
        <w:rPr>
          <w:rFonts w:ascii="Arial" w:hAnsi="Arial" w:cs="Arial" w:hint="eastAsia"/>
          <w:b/>
          <w:bCs/>
          <w:sz w:val="22"/>
          <w:szCs w:val="22"/>
        </w:rPr>
        <w:t>2022</w:t>
      </w:r>
    </w:p>
    <w:p w:rsidR="0006185A" w:rsidRDefault="00E90A13">
      <w:pPr>
        <w:pStyle w:val="Arial1101987050"/>
        <w:spacing w:before="120" w:after="120"/>
      </w:pPr>
      <w:r>
        <w:t xml:space="preserve">Title: </w:t>
      </w:r>
      <w:r>
        <w:tab/>
      </w:r>
      <w:r>
        <w:rPr>
          <w:rFonts w:hint="eastAsia"/>
          <w:szCs w:val="22"/>
        </w:rPr>
        <w:t>Views on Rel-17 NR sidelink enhancements WI</w:t>
      </w:r>
    </w:p>
    <w:p w:rsidR="0006185A" w:rsidRDefault="00E90A13">
      <w:pPr>
        <w:pStyle w:val="Arial1101987050"/>
        <w:spacing w:before="120" w:after="120"/>
      </w:pPr>
      <w:r>
        <w:t xml:space="preserve">Source: </w:t>
      </w:r>
      <w:r>
        <w:tab/>
        <w:t>ZTE</w:t>
      </w:r>
      <w:r>
        <w:rPr>
          <w:rFonts w:hint="eastAsia"/>
        </w:rPr>
        <w:t>, Sanechips</w:t>
      </w:r>
      <w:bookmarkStart w:id="0" w:name="_GoBack"/>
      <w:bookmarkEnd w:id="0"/>
    </w:p>
    <w:p w:rsidR="0006185A" w:rsidRDefault="00E90A13">
      <w:pPr>
        <w:pStyle w:val="Arial1101987050"/>
        <w:spacing w:before="120"/>
      </w:pPr>
      <w:r>
        <w:t>Agenda item:</w:t>
      </w:r>
      <w:r>
        <w:tab/>
      </w:r>
      <w:r>
        <w:rPr>
          <w:rFonts w:hint="eastAsia"/>
          <w:szCs w:val="22"/>
        </w:rPr>
        <w:t>9.5.1.3</w:t>
      </w:r>
    </w:p>
    <w:p w:rsidR="0006185A" w:rsidRDefault="00E90A13">
      <w:pPr>
        <w:pStyle w:val="Arial1101987050"/>
        <w:spacing w:before="120" w:after="120"/>
      </w:pPr>
      <w:r>
        <w:t>Document for:</w:t>
      </w:r>
      <w:r>
        <w:tab/>
      </w:r>
      <w:r>
        <w:rPr>
          <w:rFonts w:hint="eastAsia"/>
        </w:rPr>
        <w:t>Discussion</w:t>
      </w:r>
      <w:r>
        <w:t xml:space="preserve"> and decision</w:t>
      </w:r>
    </w:p>
    <w:p w:rsidR="0006185A" w:rsidRDefault="00E90A13">
      <w:pPr>
        <w:pStyle w:val="1"/>
        <w:spacing w:before="120" w:after="120"/>
        <w:ind w:left="0"/>
        <w:rPr>
          <w:rFonts w:eastAsia="宋体"/>
        </w:rPr>
      </w:pPr>
      <w:r>
        <w:rPr>
          <w:rFonts w:eastAsia="宋体" w:hint="eastAsia"/>
        </w:rPr>
        <w:t>Introduction</w:t>
      </w:r>
    </w:p>
    <w:p w:rsidR="0006185A" w:rsidRDefault="00E90A13">
      <w:pPr>
        <w:spacing w:before="120" w:after="120"/>
        <w:rPr>
          <w:rFonts w:cs="Times"/>
          <w:iCs/>
          <w:sz w:val="20"/>
        </w:rPr>
      </w:pPr>
      <w:r>
        <w:rPr>
          <w:rFonts w:cs="Times" w:hint="eastAsia"/>
          <w:iCs/>
          <w:sz w:val="20"/>
        </w:rPr>
        <w:t>In RAN#94e meeting, the following conclusion was reached [1] and the target completion date of Rel-17 NR sidelink was RAN#95e:</w:t>
      </w:r>
    </w:p>
    <w:p w:rsidR="0006185A" w:rsidRDefault="00E90A13">
      <w:pPr>
        <w:spacing w:before="120" w:after="120"/>
        <w:rPr>
          <w:rFonts w:cs="Times"/>
          <w:i/>
          <w:sz w:val="20"/>
        </w:rPr>
      </w:pPr>
      <w:r>
        <w:rPr>
          <w:rFonts w:cs="Times"/>
          <w:i/>
          <w:sz w:val="20"/>
        </w:rPr>
        <w:t>Proposal 1: RAN1 is tasked to complete the remaining normative work for Rel-17 NR sidelink e</w:t>
      </w:r>
      <w:r>
        <w:rPr>
          <w:rFonts w:cs="Times"/>
          <w:i/>
          <w:sz w:val="20"/>
        </w:rPr>
        <w:t>nhancement by Q1 of 2022</w:t>
      </w:r>
    </w:p>
    <w:p w:rsidR="0006185A" w:rsidRDefault="00E90A13">
      <w:pPr>
        <w:numPr>
          <w:ilvl w:val="0"/>
          <w:numId w:val="9"/>
        </w:numPr>
        <w:spacing w:before="120" w:after="120"/>
        <w:rPr>
          <w:rFonts w:cs="Times"/>
          <w:i/>
          <w:sz w:val="20"/>
        </w:rPr>
      </w:pPr>
      <w:r>
        <w:rPr>
          <w:rFonts w:cs="Times"/>
          <w:i/>
          <w:sz w:val="20"/>
        </w:rPr>
        <w:t>All RAN1 decisions that impact other WGs should be finalized in RAN1#107bis-e</w:t>
      </w:r>
    </w:p>
    <w:p w:rsidR="0006185A" w:rsidRDefault="00E90A13">
      <w:pPr>
        <w:spacing w:before="120" w:after="120"/>
        <w:rPr>
          <w:rFonts w:cs="Times"/>
          <w:i/>
          <w:sz w:val="20"/>
        </w:rPr>
      </w:pPr>
      <w:r>
        <w:rPr>
          <w:rFonts w:cs="Times"/>
          <w:i/>
          <w:sz w:val="20"/>
        </w:rPr>
        <w:t>Proposal 2: Use the list of open issues provided RP-212880 (status report of WI: NR sidelink enhancement) as a starting point for technical discussions i</w:t>
      </w:r>
      <w:r>
        <w:rPr>
          <w:rFonts w:cs="Times"/>
          <w:i/>
          <w:sz w:val="20"/>
        </w:rPr>
        <w:t xml:space="preserve">n RAN1. </w:t>
      </w:r>
    </w:p>
    <w:p w:rsidR="0006185A" w:rsidRDefault="00E90A13">
      <w:pPr>
        <w:numPr>
          <w:ilvl w:val="0"/>
          <w:numId w:val="9"/>
        </w:numPr>
        <w:spacing w:before="120" w:after="120"/>
        <w:rPr>
          <w:rFonts w:cs="Times"/>
          <w:i/>
          <w:sz w:val="20"/>
        </w:rPr>
      </w:pPr>
      <w:r>
        <w:rPr>
          <w:rFonts w:cs="Times"/>
          <w:i/>
          <w:sz w:val="20"/>
        </w:rPr>
        <w:t>This does not mean that all the issues included in the list are considered essential or the list is complete</w:t>
      </w:r>
    </w:p>
    <w:p w:rsidR="0006185A" w:rsidRDefault="00E90A13">
      <w:pPr>
        <w:numPr>
          <w:ilvl w:val="0"/>
          <w:numId w:val="9"/>
        </w:numPr>
        <w:spacing w:before="120" w:after="120"/>
        <w:rPr>
          <w:rFonts w:cs="Times"/>
          <w:i/>
          <w:sz w:val="20"/>
        </w:rPr>
      </w:pPr>
      <w:r>
        <w:rPr>
          <w:rFonts w:cs="Times"/>
          <w:i/>
          <w:sz w:val="20"/>
        </w:rPr>
        <w:t>RAN1 should not spend additional effort to further refine the list</w:t>
      </w:r>
    </w:p>
    <w:p w:rsidR="0006185A" w:rsidRDefault="00E90A13">
      <w:pPr>
        <w:spacing w:before="120" w:after="120"/>
        <w:rPr>
          <w:sz w:val="20"/>
        </w:rPr>
      </w:pPr>
      <w:r>
        <w:rPr>
          <w:rFonts w:cs="Times" w:hint="eastAsia"/>
          <w:iCs/>
          <w:sz w:val="20"/>
        </w:rPr>
        <w:t>After two more RAN WG meetings, most of issues provided in RP-212880 ha</w:t>
      </w:r>
      <w:r>
        <w:rPr>
          <w:rFonts w:cs="Times" w:hint="eastAsia"/>
          <w:iCs/>
          <w:sz w:val="20"/>
        </w:rPr>
        <w:t xml:space="preserve">ve been solved. Only a few remaining details are either supposed to be clarified/provided guidelines in RAN#95e meeting or </w:t>
      </w:r>
      <w:r>
        <w:rPr>
          <w:rFonts w:cs="Times"/>
          <w:iCs/>
          <w:sz w:val="20"/>
        </w:rPr>
        <w:t>alternatively</w:t>
      </w:r>
      <w:r>
        <w:rPr>
          <w:rFonts w:cs="Times" w:hint="eastAsia"/>
          <w:iCs/>
          <w:sz w:val="20"/>
        </w:rPr>
        <w:t xml:space="preserve"> addressed during CR/maintenance in Q2</w:t>
      </w:r>
      <w:r>
        <w:rPr>
          <w:rFonts w:cs="Times" w:hint="eastAsia"/>
          <w:iCs/>
          <w:sz w:val="20"/>
        </w:rPr>
        <w:t xml:space="preserve"> of</w:t>
      </w:r>
      <w:r>
        <w:rPr>
          <w:rFonts w:cs="Times" w:hint="eastAsia"/>
          <w:iCs/>
          <w:sz w:val="20"/>
        </w:rPr>
        <w:t xml:space="preserve"> 2022. </w:t>
      </w:r>
      <w:r>
        <w:rPr>
          <w:rFonts w:cs="Times" w:hint="eastAsia"/>
          <w:iCs/>
          <w:sz w:val="20"/>
        </w:rPr>
        <w:t>Based on this assumption, t</w:t>
      </w:r>
      <w:r>
        <w:rPr>
          <w:sz w:val="20"/>
        </w:rPr>
        <w:t>he completion level of</w:t>
      </w:r>
      <w:r>
        <w:rPr>
          <w:rFonts w:hint="eastAsia"/>
          <w:sz w:val="20"/>
        </w:rPr>
        <w:t xml:space="preserve"> Rel-17 NR sidelink enhancements WI </w:t>
      </w:r>
      <w:r>
        <w:rPr>
          <w:rFonts w:hint="eastAsia"/>
          <w:sz w:val="20"/>
        </w:rPr>
        <w:t xml:space="preserve">would </w:t>
      </w:r>
      <w:r>
        <w:rPr>
          <w:rFonts w:hint="eastAsia"/>
          <w:sz w:val="20"/>
        </w:rPr>
        <w:t xml:space="preserve">be declared as </w:t>
      </w:r>
      <w:r>
        <w:rPr>
          <w:sz w:val="20"/>
        </w:rPr>
        <w:t>“100%”</w:t>
      </w:r>
      <w:r>
        <w:rPr>
          <w:rFonts w:hint="eastAsia"/>
          <w:sz w:val="20"/>
        </w:rPr>
        <w:t xml:space="preserve"> by March, 2022.</w:t>
      </w:r>
      <w:r>
        <w:rPr>
          <w:sz w:val="20"/>
        </w:rPr>
        <w:t xml:space="preserve"> </w:t>
      </w:r>
    </w:p>
    <w:p w:rsidR="0006185A" w:rsidRDefault="00E90A13">
      <w:pPr>
        <w:spacing w:before="120" w:after="120"/>
        <w:rPr>
          <w:rFonts w:cs="Times"/>
          <w:iCs/>
          <w:sz w:val="20"/>
        </w:rPr>
      </w:pPr>
      <w:r>
        <w:rPr>
          <w:rFonts w:cs="Times" w:hint="eastAsia"/>
          <w:iCs/>
          <w:sz w:val="20"/>
        </w:rPr>
        <w:t xml:space="preserve">This paper discusses our considerations on the Rel-17 SL enhancement topics considering both RAN1 and RAN2 progress. </w:t>
      </w:r>
    </w:p>
    <w:p w:rsidR="0006185A" w:rsidRDefault="00E90A13">
      <w:pPr>
        <w:pStyle w:val="1"/>
        <w:spacing w:before="120" w:after="120"/>
        <w:ind w:left="0"/>
        <w:rPr>
          <w:rFonts w:eastAsia="宋体"/>
        </w:rPr>
      </w:pPr>
      <w:r>
        <w:rPr>
          <w:rFonts w:eastAsia="宋体" w:hint="eastAsia"/>
        </w:rPr>
        <w:t>Discussion</w:t>
      </w:r>
      <w:r>
        <w:rPr>
          <w:rFonts w:eastAsia="宋体"/>
        </w:rPr>
        <w:t>s</w:t>
      </w:r>
      <w:r>
        <w:rPr>
          <w:rFonts w:eastAsia="宋体" w:hint="eastAsia"/>
        </w:rPr>
        <w:t xml:space="preserve"> </w:t>
      </w:r>
    </w:p>
    <w:p w:rsidR="0006185A" w:rsidRDefault="00E90A13">
      <w:pPr>
        <w:pStyle w:val="2"/>
        <w:spacing w:before="120" w:after="120"/>
        <w:ind w:left="0" w:right="210"/>
      </w:pPr>
      <w:r>
        <w:rPr>
          <w:rFonts w:hint="eastAsia"/>
        </w:rPr>
        <w:t xml:space="preserve">Whether to split PSFCH and S-SSB in the UE </w:t>
      </w:r>
      <w:r>
        <w:rPr>
          <w:rFonts w:hint="eastAsia"/>
        </w:rPr>
        <w:t>feature</w:t>
      </w:r>
    </w:p>
    <w:p w:rsidR="0006185A" w:rsidRDefault="00E90A13">
      <w:pPr>
        <w:spacing w:before="120" w:after="120"/>
        <w:rPr>
          <w:sz w:val="20"/>
        </w:rPr>
      </w:pPr>
      <w:r>
        <w:rPr>
          <w:sz w:val="20"/>
        </w:rPr>
        <w:t>During RAN1#107b-e, there was discussion on whether to split PSFCH and S-SSB reception for the UE feature 32-2. The major argument for the split was to indicate broadcast only UE, whose ability of S-SSB reception should be there to ensure SL commun</w:t>
      </w:r>
      <w:r>
        <w:rPr>
          <w:sz w:val="20"/>
        </w:rPr>
        <w:t>ication where no GNSS or gNB based sync is available while the ability to receive feedback is not needed. However, under the concerning case, at least these UE</w:t>
      </w:r>
      <w:r>
        <w:rPr>
          <w:rFonts w:hint="eastAsia"/>
          <w:sz w:val="20"/>
        </w:rPr>
        <w:t>s</w:t>
      </w:r>
      <w:r>
        <w:rPr>
          <w:sz w:val="20"/>
        </w:rPr>
        <w:t xml:space="preserve"> should additionally support S-SSB transmission so that the UEs within the communication cluster</w:t>
      </w:r>
      <w:r>
        <w:rPr>
          <w:sz w:val="20"/>
        </w:rPr>
        <w:t xml:space="preserve"> can be synchronized mutually. If we take that into consideration, the power saving gain compared to leaving out PS</w:t>
      </w:r>
      <w:r>
        <w:rPr>
          <w:rFonts w:hint="eastAsia"/>
          <w:sz w:val="20"/>
        </w:rPr>
        <w:t>F</w:t>
      </w:r>
      <w:r>
        <w:rPr>
          <w:sz w:val="20"/>
        </w:rPr>
        <w:t>CH reception would be questionable. Moreover, this kind of UE (e.g. a few specialized low power oriented road side units) is not of dominant</w:t>
      </w:r>
      <w:r>
        <w:rPr>
          <w:sz w:val="20"/>
        </w:rPr>
        <w:t xml:space="preserve"> market margin as echoed by quite a few vendors. The motivation to justify its dedicated capability signaling is in doubt.</w:t>
      </w:r>
    </w:p>
    <w:p w:rsidR="0006185A" w:rsidRDefault="00E90A13">
      <w:pPr>
        <w:spacing w:before="120" w:after="120"/>
        <w:rPr>
          <w:sz w:val="20"/>
        </w:rPr>
      </w:pPr>
      <w:r>
        <w:rPr>
          <w:sz w:val="20"/>
        </w:rPr>
        <w:t>Meanwhile, given the UE capable of the reception of PSFCH and S-SSB only has been discussed in the very early stage of Rel-17, the co</w:t>
      </w:r>
      <w:r>
        <w:rPr>
          <w:sz w:val="20"/>
        </w:rPr>
        <w:t>rresponding capability and its indication should be acknowledged and implemented.</w:t>
      </w:r>
    </w:p>
    <w:p w:rsidR="0006185A" w:rsidRDefault="00E90A13">
      <w:pPr>
        <w:pStyle w:val="ZTE-Proposal-20210505"/>
        <w:spacing w:before="120" w:after="120"/>
        <w:rPr>
          <w:rFonts w:cs="Times New Roman"/>
          <w:lang w:val="en-US"/>
        </w:rPr>
      </w:pPr>
      <w:r>
        <w:rPr>
          <w:rFonts w:cs="Times New Roman"/>
        </w:rPr>
        <w:t>No further discussion in RAN1 for the split of PSFC</w:t>
      </w:r>
      <w:r>
        <w:rPr>
          <w:rFonts w:cs="Times New Roman"/>
          <w:lang w:eastAsia="zh-CN"/>
        </w:rPr>
        <w:t xml:space="preserve">H and S-SSB reception for the UE feature 32-2. </w:t>
      </w:r>
    </w:p>
    <w:p w:rsidR="0006185A" w:rsidRDefault="00E90A13">
      <w:pPr>
        <w:pStyle w:val="sub-proposal"/>
        <w:spacing w:before="120" w:after="120"/>
      </w:pPr>
      <w:r>
        <w:rPr>
          <w:lang w:eastAsia="zh-CN"/>
        </w:rPr>
        <w:t>The UE capable of receiving PSFCH and S-SSB only is supported.</w:t>
      </w:r>
    </w:p>
    <w:p w:rsidR="0006185A" w:rsidRDefault="0006185A">
      <w:pPr>
        <w:pStyle w:val="sub-proposal"/>
        <w:numPr>
          <w:ilvl w:val="255"/>
          <w:numId w:val="0"/>
        </w:numPr>
        <w:spacing w:before="120" w:after="120"/>
      </w:pPr>
    </w:p>
    <w:p w:rsidR="0006185A" w:rsidRDefault="00E90A13">
      <w:pPr>
        <w:pStyle w:val="2"/>
        <w:spacing w:before="120" w:after="120"/>
        <w:ind w:left="0" w:right="210"/>
      </w:pPr>
      <w:r>
        <w:rPr>
          <w:rFonts w:eastAsiaTheme="minorEastAsia" w:hint="eastAsia"/>
        </w:rPr>
        <w:lastRenderedPageBreak/>
        <w:t>Considerati</w:t>
      </w:r>
      <w:r>
        <w:rPr>
          <w:rFonts w:eastAsiaTheme="minorEastAsia" w:hint="eastAsia"/>
        </w:rPr>
        <w:t xml:space="preserve">on on the solution for </w:t>
      </w:r>
      <w:r>
        <w:rPr>
          <w:rFonts w:eastAsiaTheme="minorEastAsia"/>
        </w:rPr>
        <w:t>selection/reporting of subset of candidate resources within RX-UE's SL DRX active time</w:t>
      </w:r>
    </w:p>
    <w:p w:rsidR="0006185A" w:rsidRDefault="00E90A13">
      <w:pPr>
        <w:spacing w:before="120" w:after="120"/>
        <w:rPr>
          <w:rFonts w:eastAsiaTheme="minorEastAsia"/>
          <w:sz w:val="20"/>
        </w:rPr>
      </w:pPr>
      <w:r>
        <w:rPr>
          <w:rFonts w:hint="eastAsia"/>
          <w:sz w:val="20"/>
        </w:rPr>
        <w:t xml:space="preserve">During RAN1#107b-e[2] and RAN1#108-e[3], </w:t>
      </w:r>
      <w:r>
        <w:rPr>
          <w:rFonts w:hint="eastAsia"/>
          <w:sz w:val="20"/>
        </w:rPr>
        <w:t xml:space="preserve">intensive </w:t>
      </w:r>
      <w:r>
        <w:rPr>
          <w:rFonts w:hint="eastAsia"/>
          <w:sz w:val="20"/>
        </w:rPr>
        <w:t xml:space="preserve">discussion took place on the solution </w:t>
      </w:r>
      <w:r>
        <w:rPr>
          <w:rFonts w:hint="eastAsia"/>
          <w:sz w:val="20"/>
        </w:rPr>
        <w:t>for</w:t>
      </w:r>
      <w:r>
        <w:rPr>
          <w:rFonts w:hint="eastAsia"/>
          <w:sz w:val="20"/>
        </w:rPr>
        <w:t xml:space="preserve"> the </w:t>
      </w:r>
      <w:r>
        <w:rPr>
          <w:rFonts w:eastAsiaTheme="minorEastAsia"/>
          <w:sz w:val="20"/>
        </w:rPr>
        <w:t>selection/reporting of subset of candidate resour</w:t>
      </w:r>
      <w:r>
        <w:rPr>
          <w:rFonts w:eastAsiaTheme="minorEastAsia"/>
          <w:sz w:val="20"/>
        </w:rPr>
        <w:t>ces within RX-UE's SL DRX active time</w:t>
      </w:r>
      <w:r>
        <w:rPr>
          <w:rFonts w:eastAsiaTheme="minorEastAsia" w:hint="eastAsia"/>
          <w:sz w:val="20"/>
        </w:rPr>
        <w:t xml:space="preserve"> aiming to fulfill the RAN1 agreement on the subset generation and reporting. </w:t>
      </w:r>
    </w:p>
    <w:tbl>
      <w:tblPr>
        <w:tblStyle w:val="aa"/>
        <w:tblW w:w="0" w:type="auto"/>
        <w:tblLook w:val="04A0" w:firstRow="1" w:lastRow="0" w:firstColumn="1" w:lastColumn="0" w:noHBand="0" w:noVBand="1"/>
      </w:tblPr>
      <w:tblGrid>
        <w:gridCol w:w="9876"/>
      </w:tblGrid>
      <w:tr w:rsidR="0006185A">
        <w:tc>
          <w:tcPr>
            <w:tcW w:w="9876" w:type="dxa"/>
          </w:tcPr>
          <w:p w:rsidR="0006185A" w:rsidRDefault="00E90A13">
            <w:pPr>
              <w:autoSpaceDE w:val="0"/>
              <w:autoSpaceDN w:val="0"/>
              <w:spacing w:before="120" w:after="120"/>
              <w:rPr>
                <w:color w:val="000000"/>
                <w:sz w:val="20"/>
                <w:highlight w:val="green"/>
              </w:rPr>
            </w:pPr>
            <w:r>
              <w:rPr>
                <w:b/>
                <w:bCs/>
                <w:color w:val="000000"/>
                <w:sz w:val="20"/>
                <w:highlight w:val="green"/>
              </w:rPr>
              <w:t>Agreement</w:t>
            </w:r>
          </w:p>
          <w:p w:rsidR="0006185A" w:rsidRDefault="00E90A13">
            <w:pPr>
              <w:autoSpaceDE w:val="0"/>
              <w:autoSpaceDN w:val="0"/>
              <w:spacing w:before="120" w:after="120"/>
              <w:rPr>
                <w:sz w:val="20"/>
              </w:rPr>
            </w:pPr>
            <w:r>
              <w:rPr>
                <w:color w:val="000000"/>
                <w:sz w:val="20"/>
              </w:rPr>
              <w:t xml:space="preserve">When SL DRX active time of Rx-UE is provided by the higher layer for candidate resource selection (including resource </w:t>
            </w:r>
            <w:r>
              <w:rPr>
                <w:color w:val="000000"/>
                <w:sz w:val="20"/>
              </w:rPr>
              <w:t>(re)selection and re-evaluation/pre-emption checking), t</w:t>
            </w:r>
            <w:r>
              <w:rPr>
                <w:sz w:val="20"/>
              </w:rPr>
              <w:t xml:space="preserve">he following working assumption is confirmed with option 2 as agreement (with modification in </w:t>
            </w:r>
            <w:r>
              <w:rPr>
                <w:color w:val="FF0000"/>
                <w:sz w:val="20"/>
              </w:rPr>
              <w:t>RED</w:t>
            </w:r>
            <w:r>
              <w:rPr>
                <w:sz w:val="20"/>
              </w:rPr>
              <w:t>)</w:t>
            </w:r>
          </w:p>
          <w:p w:rsidR="0006185A" w:rsidRDefault="00E90A13">
            <w:pPr>
              <w:spacing w:before="120" w:after="120"/>
              <w:rPr>
                <w:sz w:val="20"/>
              </w:rPr>
            </w:pPr>
            <w:r>
              <w:rPr>
                <w:sz w:val="20"/>
              </w:rPr>
              <w:t xml:space="preserve"> </w:t>
            </w:r>
          </w:p>
          <w:p w:rsidR="0006185A" w:rsidRDefault="00E90A13">
            <w:pPr>
              <w:spacing w:before="120" w:after="120"/>
              <w:rPr>
                <w:b/>
                <w:bCs/>
                <w:sz w:val="20"/>
                <w:highlight w:val="darkYellow"/>
              </w:rPr>
            </w:pPr>
            <w:r>
              <w:rPr>
                <w:b/>
                <w:bCs/>
                <w:sz w:val="20"/>
                <w:highlight w:val="darkYellow"/>
              </w:rPr>
              <w:t>Working Assumption (RAN1#106bis-e)</w:t>
            </w:r>
          </w:p>
          <w:p w:rsidR="0006185A" w:rsidRDefault="00E90A13">
            <w:pPr>
              <w:spacing w:before="120" w:after="120"/>
              <w:rPr>
                <w:sz w:val="20"/>
              </w:rPr>
            </w:pPr>
            <w:r>
              <w:rPr>
                <w:sz w:val="20"/>
              </w:rPr>
              <w:t>When PHY layer is indicated with an active time of RX UE from MA</w:t>
            </w:r>
            <w:r>
              <w:rPr>
                <w:sz w:val="20"/>
              </w:rPr>
              <w:t>C layer for candidate resource selection, a restriction is applied in PHY layer so that at least a subset of candidate resources reported to MAC layer is located within the indicated active time of the RX UE. The following options will be further discussed</w:t>
            </w:r>
            <w:r>
              <w:rPr>
                <w:sz w:val="20"/>
              </w:rPr>
              <w:t xml:space="preserve"> in RAN1 to restrict resources for candidate resource selection taking into account the indicated active time from MAC layer:</w:t>
            </w:r>
          </w:p>
          <w:p w:rsidR="0006185A" w:rsidRDefault="00E90A13">
            <w:pPr>
              <w:pStyle w:val="ListParagraph2"/>
              <w:numPr>
                <w:ilvl w:val="0"/>
                <w:numId w:val="10"/>
              </w:numPr>
              <w:ind w:leftChars="0"/>
              <w:jc w:val="both"/>
              <w:rPr>
                <w:rFonts w:ascii="Times New Roman" w:hAnsi="Times New Roman"/>
                <w:strike/>
                <w:color w:val="FF0000"/>
                <w:sz w:val="20"/>
                <w:szCs w:val="20"/>
              </w:rPr>
            </w:pPr>
            <w:r>
              <w:rPr>
                <w:rFonts w:ascii="Times New Roman" w:hAnsi="Times New Roman"/>
                <w:strike/>
                <w:color w:val="FF0000"/>
                <w:sz w:val="20"/>
                <w:szCs w:val="20"/>
              </w:rPr>
              <w:t>Option 1: PHY layer selects and reports candidate resources only within the indicated active time of the RX UE</w:t>
            </w:r>
          </w:p>
          <w:p w:rsidR="0006185A" w:rsidRDefault="00E90A13">
            <w:pPr>
              <w:pStyle w:val="ListParagraph2"/>
              <w:numPr>
                <w:ilvl w:val="0"/>
                <w:numId w:val="10"/>
              </w:numPr>
              <w:ind w:leftChars="0"/>
              <w:jc w:val="both"/>
              <w:rPr>
                <w:rFonts w:ascii="Times New Roman" w:hAnsi="Times New Roman"/>
                <w:sz w:val="20"/>
                <w:szCs w:val="20"/>
              </w:rPr>
            </w:pPr>
            <w:r>
              <w:rPr>
                <w:rFonts w:ascii="Times New Roman" w:hAnsi="Times New Roman"/>
                <w:sz w:val="20"/>
                <w:szCs w:val="20"/>
              </w:rPr>
              <w:t>Option 2: PHY layer</w:t>
            </w:r>
            <w:r>
              <w:rPr>
                <w:rFonts w:ascii="Times New Roman" w:hAnsi="Times New Roman"/>
                <w:sz w:val="20"/>
                <w:szCs w:val="20"/>
              </w:rPr>
              <w:t xml:space="preserve"> selects and reports candidate resources in which at least a subset of the candidate resources is within the indicated active time of the RX UE</w:t>
            </w:r>
          </w:p>
          <w:p w:rsidR="0006185A" w:rsidRDefault="00E90A13">
            <w:pPr>
              <w:pStyle w:val="ListParagraph2"/>
              <w:numPr>
                <w:ilvl w:val="1"/>
                <w:numId w:val="10"/>
              </w:numPr>
              <w:ind w:leftChars="0"/>
              <w:jc w:val="both"/>
              <w:rPr>
                <w:rFonts w:ascii="Times New Roman" w:hAnsi="Times New Roman"/>
                <w:color w:val="FF0000"/>
                <w:sz w:val="20"/>
                <w:szCs w:val="20"/>
              </w:rPr>
            </w:pPr>
            <w:r>
              <w:rPr>
                <w:rFonts w:ascii="Times New Roman" w:hAnsi="Times New Roman"/>
                <w:color w:val="FF0000"/>
                <w:sz w:val="20"/>
                <w:szCs w:val="20"/>
              </w:rPr>
              <w:t>FFS: Details on when the number of subsets of candidate resource is less than the threshold</w:t>
            </w:r>
          </w:p>
          <w:p w:rsidR="0006185A" w:rsidRDefault="00E90A13">
            <w:pPr>
              <w:pStyle w:val="ListParagraph2"/>
              <w:numPr>
                <w:ilvl w:val="1"/>
                <w:numId w:val="10"/>
              </w:numPr>
              <w:ind w:leftChars="0"/>
              <w:jc w:val="both"/>
              <w:rPr>
                <w:rFonts w:ascii="Times New Roman" w:hAnsi="Times New Roman"/>
                <w:color w:val="FF0000"/>
                <w:sz w:val="20"/>
                <w:szCs w:val="20"/>
              </w:rPr>
            </w:pPr>
            <w:r>
              <w:rPr>
                <w:rFonts w:ascii="Times New Roman" w:hAnsi="Times New Roman"/>
                <w:color w:val="FF0000"/>
                <w:sz w:val="20"/>
                <w:szCs w:val="20"/>
              </w:rPr>
              <w:t xml:space="preserve">FFS: The subset of </w:t>
            </w:r>
            <w:r>
              <w:rPr>
                <w:rFonts w:ascii="Times New Roman" w:hAnsi="Times New Roman"/>
                <w:color w:val="FF0000"/>
                <w:sz w:val="20"/>
                <w:szCs w:val="20"/>
              </w:rPr>
              <w:t>candidate resource outside of the active time should consider each inactive time period</w:t>
            </w:r>
          </w:p>
          <w:p w:rsidR="0006185A" w:rsidRDefault="00E90A13">
            <w:pPr>
              <w:pStyle w:val="ListParagraph2"/>
              <w:numPr>
                <w:ilvl w:val="1"/>
                <w:numId w:val="10"/>
              </w:numPr>
              <w:ind w:leftChars="0"/>
              <w:jc w:val="both"/>
              <w:rPr>
                <w:rFonts w:ascii="Times New Roman" w:hAnsi="Times New Roman"/>
                <w:color w:val="FF0000"/>
                <w:sz w:val="20"/>
                <w:szCs w:val="20"/>
              </w:rPr>
            </w:pPr>
            <w:r>
              <w:rPr>
                <w:rFonts w:ascii="Times New Roman" w:hAnsi="Times New Roman"/>
                <w:color w:val="FF0000"/>
                <w:sz w:val="20"/>
                <w:szCs w:val="20"/>
              </w:rPr>
              <w:t>FFS: UE selection of resource selection window to overlap with indicated RX UE active time</w:t>
            </w:r>
          </w:p>
          <w:p w:rsidR="0006185A" w:rsidRDefault="00E90A13">
            <w:pPr>
              <w:pStyle w:val="ListParagraph2"/>
              <w:numPr>
                <w:ilvl w:val="1"/>
                <w:numId w:val="10"/>
              </w:numPr>
              <w:ind w:leftChars="0"/>
              <w:jc w:val="both"/>
              <w:rPr>
                <w:rFonts w:ascii="Times New Roman" w:hAnsi="Times New Roman"/>
                <w:color w:val="FF0000"/>
                <w:sz w:val="20"/>
                <w:szCs w:val="20"/>
              </w:rPr>
            </w:pPr>
            <w:r>
              <w:rPr>
                <w:rFonts w:ascii="Times New Roman" w:hAnsi="Times New Roman"/>
                <w:color w:val="FF0000"/>
                <w:sz w:val="20"/>
                <w:szCs w:val="20"/>
              </w:rPr>
              <w:t>FFS: Whether it is up to UE implementation to report candidate resources only</w:t>
            </w:r>
            <w:r>
              <w:rPr>
                <w:rFonts w:ascii="Times New Roman" w:hAnsi="Times New Roman"/>
                <w:color w:val="FF0000"/>
                <w:sz w:val="20"/>
                <w:szCs w:val="20"/>
              </w:rPr>
              <w:t xml:space="preserve"> within the indicated active time of the RX UE</w:t>
            </w:r>
          </w:p>
          <w:p w:rsidR="0006185A" w:rsidRDefault="00E90A13">
            <w:pPr>
              <w:pStyle w:val="ListParagraph2"/>
              <w:numPr>
                <w:ilvl w:val="0"/>
                <w:numId w:val="10"/>
              </w:numPr>
              <w:ind w:leftChars="0"/>
              <w:jc w:val="both"/>
              <w:rPr>
                <w:rFonts w:ascii="Times New Roman" w:hAnsi="Times New Roman"/>
                <w:strike/>
                <w:color w:val="FF0000"/>
                <w:sz w:val="20"/>
                <w:szCs w:val="20"/>
              </w:rPr>
            </w:pPr>
            <w:r>
              <w:rPr>
                <w:rFonts w:ascii="Times New Roman" w:hAnsi="Times New Roman"/>
                <w:strike/>
                <w:color w:val="FF0000"/>
                <w:sz w:val="20"/>
                <w:szCs w:val="20"/>
              </w:rPr>
              <w:t>Option 3: PHY layer selects and reports an additional candidate resource set of candidate resources within the indicated active time of the RX UE</w:t>
            </w:r>
          </w:p>
          <w:p w:rsidR="0006185A" w:rsidRDefault="0006185A">
            <w:pPr>
              <w:spacing w:before="120" w:after="120"/>
              <w:rPr>
                <w:sz w:val="20"/>
              </w:rPr>
            </w:pPr>
          </w:p>
        </w:tc>
      </w:tr>
    </w:tbl>
    <w:p w:rsidR="0006185A" w:rsidRDefault="0006185A">
      <w:pPr>
        <w:spacing w:before="120" w:after="120"/>
        <w:rPr>
          <w:rFonts w:eastAsiaTheme="minorEastAsia"/>
          <w:sz w:val="20"/>
        </w:rPr>
      </w:pPr>
    </w:p>
    <w:p w:rsidR="0006185A" w:rsidRDefault="00E90A13">
      <w:pPr>
        <w:autoSpaceDE w:val="0"/>
        <w:autoSpaceDN w:val="0"/>
        <w:spacing w:before="120" w:after="120"/>
        <w:rPr>
          <w:sz w:val="20"/>
        </w:rPr>
      </w:pPr>
      <w:r>
        <w:rPr>
          <w:sz w:val="20"/>
        </w:rPr>
        <w:t>Two ways forward were proposed and almost equally favored to</w:t>
      </w:r>
      <w:r>
        <w:rPr>
          <w:sz w:val="20"/>
        </w:rPr>
        <w:t xml:space="preserve"> deliver the agreement:</w:t>
      </w:r>
    </w:p>
    <w:p w:rsidR="0006185A" w:rsidRDefault="00E90A13">
      <w:pPr>
        <w:autoSpaceDE w:val="0"/>
        <w:autoSpaceDN w:val="0"/>
        <w:spacing w:before="120" w:after="120"/>
        <w:rPr>
          <w:sz w:val="20"/>
        </w:rPr>
      </w:pPr>
      <w:r>
        <w:rPr>
          <w:sz w:val="20"/>
        </w:rPr>
        <w:t>- The subset</w:t>
      </w:r>
      <w:r>
        <w:rPr>
          <w:rFonts w:hint="eastAsia"/>
          <w:sz w:val="20"/>
        </w:rPr>
        <w:t xml:space="preserve"> of </w:t>
      </w:r>
      <w:r>
        <w:rPr>
          <w:sz w:val="20"/>
        </w:rPr>
        <w:t>candidate resources within the indicated active time of the RX UE</w:t>
      </w:r>
      <w:r>
        <w:rPr>
          <w:rFonts w:hint="eastAsia"/>
          <w:sz w:val="20"/>
        </w:rPr>
        <w:t xml:space="preserve"> </w:t>
      </w:r>
      <w:r>
        <w:rPr>
          <w:sz w:val="20"/>
        </w:rPr>
        <w:t xml:space="preserve">is generated up to </w:t>
      </w:r>
      <w:r>
        <w:rPr>
          <w:rFonts w:hint="eastAsia"/>
          <w:sz w:val="20"/>
        </w:rPr>
        <w:t xml:space="preserve">UE </w:t>
      </w:r>
      <w:r>
        <w:rPr>
          <w:sz w:val="20"/>
        </w:rPr>
        <w:t>implementation</w:t>
      </w:r>
    </w:p>
    <w:p w:rsidR="0006185A" w:rsidRDefault="00E90A13">
      <w:pPr>
        <w:autoSpaceDE w:val="0"/>
        <w:autoSpaceDN w:val="0"/>
        <w:spacing w:before="120" w:after="120"/>
        <w:rPr>
          <w:sz w:val="20"/>
        </w:rPr>
      </w:pPr>
      <w:r>
        <w:rPr>
          <w:sz w:val="20"/>
        </w:rPr>
        <w:t xml:space="preserve">- The subset </w:t>
      </w:r>
      <w:r>
        <w:rPr>
          <w:rFonts w:hint="eastAsia"/>
          <w:sz w:val="20"/>
        </w:rPr>
        <w:t xml:space="preserve">of </w:t>
      </w:r>
      <w:r>
        <w:rPr>
          <w:sz w:val="20"/>
        </w:rPr>
        <w:t>candidate resources within the indicated active time of the RX UE</w:t>
      </w:r>
      <w:r>
        <w:rPr>
          <w:rFonts w:hint="eastAsia"/>
          <w:sz w:val="20"/>
        </w:rPr>
        <w:t xml:space="preserve"> </w:t>
      </w:r>
      <w:r>
        <w:rPr>
          <w:sz w:val="20"/>
        </w:rPr>
        <w:t xml:space="preserve">is generated via an RSRP </w:t>
      </w:r>
      <w:r>
        <w:rPr>
          <w:sz w:val="20"/>
        </w:rPr>
        <w:t>increment based solution</w:t>
      </w:r>
    </w:p>
    <w:p w:rsidR="0006185A" w:rsidRDefault="00E90A13">
      <w:pPr>
        <w:autoSpaceDE w:val="0"/>
        <w:autoSpaceDN w:val="0"/>
        <w:spacing w:before="120" w:after="120"/>
        <w:rPr>
          <w:rFonts w:eastAsiaTheme="minorEastAsia"/>
          <w:sz w:val="20"/>
        </w:rPr>
      </w:pPr>
      <w:r>
        <w:rPr>
          <w:sz w:val="20"/>
        </w:rPr>
        <w:t>Given there is no RAN1 consensus on either to take, relevant spec should reflect the already made agreement with the understanding that the selection or reporting of the subset is up to UE implementation.</w:t>
      </w:r>
    </w:p>
    <w:p w:rsidR="0006185A" w:rsidRDefault="00E90A13">
      <w:pPr>
        <w:pStyle w:val="ZTE-Observation-2021"/>
        <w:spacing w:before="120" w:after="120"/>
        <w:rPr>
          <w:rFonts w:cs="Times New Roman"/>
        </w:rPr>
      </w:pPr>
      <w:r>
        <w:rPr>
          <w:rFonts w:cs="Times New Roman"/>
        </w:rPr>
        <w:t>The issue is closed with t</w:t>
      </w:r>
      <w:r>
        <w:rPr>
          <w:rFonts w:cs="Times New Roman"/>
        </w:rPr>
        <w:t xml:space="preserve">he understanding that </w:t>
      </w:r>
      <w:r>
        <w:rPr>
          <w:rFonts w:cs="Times New Roman"/>
          <w:lang w:eastAsia="zh-CN"/>
        </w:rPr>
        <w:t>the selection or reporting of the subset within the DRX active of RX UE is up to implementation</w:t>
      </w:r>
      <w:r>
        <w:rPr>
          <w:rFonts w:cs="Times New Roman"/>
          <w:lang w:val="en-US" w:eastAsia="zh-CN"/>
        </w:rPr>
        <w:t>.</w:t>
      </w:r>
    </w:p>
    <w:p w:rsidR="0006185A" w:rsidRDefault="00E90A13">
      <w:pPr>
        <w:pStyle w:val="ZTE-Proposal-20210505"/>
        <w:spacing w:before="120" w:after="120"/>
        <w:rPr>
          <w:rFonts w:cs="Times New Roman"/>
        </w:rPr>
      </w:pPr>
      <w:r>
        <w:rPr>
          <w:rFonts w:cs="Times New Roman"/>
          <w:lang w:eastAsia="zh-CN"/>
        </w:rPr>
        <w:t>RAN acknowledges that</w:t>
      </w:r>
      <w:r>
        <w:rPr>
          <w:rFonts w:cs="Times New Roman"/>
        </w:rPr>
        <w:t xml:space="preserve"> Rel-17 </w:t>
      </w:r>
      <w:r>
        <w:rPr>
          <w:rFonts w:cs="Times New Roman"/>
          <w:lang w:eastAsia="zh-CN"/>
        </w:rPr>
        <w:t>e</w:t>
      </w:r>
      <w:r>
        <w:rPr>
          <w:rFonts w:cs="Times New Roman"/>
        </w:rPr>
        <w:t>SL is functionally complete from RAN1 perspective.</w:t>
      </w:r>
    </w:p>
    <w:p w:rsidR="0006185A" w:rsidRDefault="0006185A">
      <w:pPr>
        <w:pStyle w:val="ad"/>
        <w:autoSpaceDE w:val="0"/>
        <w:autoSpaceDN w:val="0"/>
        <w:spacing w:before="120" w:after="120"/>
        <w:ind w:left="0"/>
        <w:rPr>
          <w:rFonts w:eastAsiaTheme="minorEastAsia"/>
          <w:color w:val="000000"/>
          <w:sz w:val="22"/>
          <w:szCs w:val="22"/>
          <w:lang w:val="en-GB"/>
        </w:rPr>
      </w:pPr>
    </w:p>
    <w:p w:rsidR="0006185A" w:rsidRDefault="00E90A13">
      <w:pPr>
        <w:pStyle w:val="2"/>
        <w:spacing w:before="120" w:after="120"/>
        <w:ind w:left="0" w:right="210"/>
        <w:rPr>
          <w:rFonts w:eastAsiaTheme="minorEastAsia"/>
        </w:rPr>
      </w:pPr>
      <w:r>
        <w:rPr>
          <w:rFonts w:eastAsiaTheme="minorEastAsia" w:hint="eastAsia"/>
        </w:rPr>
        <w:t xml:space="preserve">DRX configuration handling for the case when gNB does </w:t>
      </w:r>
      <w:r>
        <w:rPr>
          <w:rFonts w:eastAsiaTheme="minorEastAsia" w:hint="eastAsia"/>
        </w:rPr>
        <w:t>not support SL DRX</w:t>
      </w:r>
    </w:p>
    <w:p w:rsidR="0006185A" w:rsidRDefault="00E90A13">
      <w:pPr>
        <w:pStyle w:val="ad"/>
        <w:numPr>
          <w:ilvl w:val="255"/>
          <w:numId w:val="0"/>
        </w:numPr>
        <w:spacing w:after="120"/>
        <w:rPr>
          <w:rFonts w:eastAsia="宋体"/>
          <w:iCs/>
          <w:sz w:val="20"/>
          <w:szCs w:val="20"/>
        </w:rPr>
      </w:pPr>
      <w:r>
        <w:rPr>
          <w:sz w:val="20"/>
          <w:szCs w:val="20"/>
        </w:rPr>
        <w:t>Based on RAN2 agreement as below[</w:t>
      </w:r>
      <w:r>
        <w:rPr>
          <w:rFonts w:hint="eastAsia"/>
          <w:sz w:val="20"/>
          <w:szCs w:val="20"/>
        </w:rPr>
        <w:t>4</w:t>
      </w:r>
      <w:r>
        <w:rPr>
          <w:sz w:val="20"/>
          <w:szCs w:val="20"/>
        </w:rPr>
        <w:t>]</w:t>
      </w:r>
      <w:r>
        <w:rPr>
          <w:rFonts w:hint="eastAsia"/>
          <w:sz w:val="20"/>
          <w:szCs w:val="20"/>
        </w:rPr>
        <w:t>[5]</w:t>
      </w:r>
      <w:r>
        <w:rPr>
          <w:sz w:val="20"/>
          <w:szCs w:val="20"/>
        </w:rPr>
        <w:t>, a leftover issue is f</w:t>
      </w:r>
      <w:r>
        <w:rPr>
          <w:iCs/>
          <w:sz w:val="20"/>
          <w:szCs w:val="20"/>
          <w:lang w:val="en-GB"/>
        </w:rPr>
        <w:t xml:space="preserve">inalization of signaling and procedure for the </w:t>
      </w:r>
      <w:r>
        <w:rPr>
          <w:rFonts w:eastAsia="宋体" w:hint="eastAsia"/>
          <w:iCs/>
          <w:sz w:val="20"/>
          <w:szCs w:val="20"/>
        </w:rPr>
        <w:t>case when</w:t>
      </w:r>
    </w:p>
    <w:p w:rsidR="0006185A" w:rsidRDefault="0006185A">
      <w:pPr>
        <w:pStyle w:val="ad"/>
        <w:numPr>
          <w:ilvl w:val="255"/>
          <w:numId w:val="0"/>
        </w:numPr>
        <w:spacing w:after="120"/>
        <w:rPr>
          <w:rFonts w:eastAsiaTheme="minorEastAsia"/>
          <w:sz w:val="20"/>
        </w:rPr>
      </w:pPr>
    </w:p>
    <w:p w:rsidR="0006185A" w:rsidRDefault="00E90A13">
      <w:pPr>
        <w:pStyle w:val="ad"/>
        <w:numPr>
          <w:ilvl w:val="255"/>
          <w:numId w:val="0"/>
        </w:numPr>
        <w:spacing w:after="120"/>
        <w:rPr>
          <w:rFonts w:eastAsiaTheme="minorEastAsia"/>
          <w:sz w:val="20"/>
          <w:szCs w:val="20"/>
        </w:rPr>
      </w:pPr>
      <w:r>
        <w:rPr>
          <w:sz w:val="20"/>
        </w:rPr>
        <w:t>RX UE does not receive any SL DRX configuration from TX UE</w:t>
      </w:r>
      <w:r>
        <w:rPr>
          <w:sz w:val="20"/>
          <w:szCs w:val="20"/>
        </w:rPr>
        <w:t>:</w:t>
      </w:r>
    </w:p>
    <w:tbl>
      <w:tblPr>
        <w:tblStyle w:val="aa"/>
        <w:tblW w:w="0" w:type="auto"/>
        <w:tblLook w:val="04A0" w:firstRow="1" w:lastRow="0" w:firstColumn="1" w:lastColumn="0" w:noHBand="0" w:noVBand="1"/>
      </w:tblPr>
      <w:tblGrid>
        <w:gridCol w:w="9876"/>
      </w:tblGrid>
      <w:tr w:rsidR="0006185A">
        <w:tc>
          <w:tcPr>
            <w:tcW w:w="9876" w:type="dxa"/>
          </w:tcPr>
          <w:p w:rsidR="0006185A" w:rsidRDefault="00E90A13">
            <w:pPr>
              <w:spacing w:before="120" w:after="120"/>
              <w:rPr>
                <w:rFonts w:eastAsia="微软雅黑"/>
                <w:color w:val="13161A"/>
                <w:sz w:val="20"/>
                <w:shd w:val="clear" w:color="auto" w:fill="FFFFFF"/>
              </w:rPr>
            </w:pPr>
            <w:r>
              <w:rPr>
                <w:rFonts w:eastAsia="微软雅黑"/>
                <w:color w:val="13161A"/>
                <w:sz w:val="20"/>
                <w:shd w:val="clear" w:color="auto" w:fill="FFFFFF"/>
              </w:rPr>
              <w:t xml:space="preserve">For unicast and TX UE in RRC CONNECTED and Mode 1 RA, the </w:t>
            </w:r>
            <w:r>
              <w:rPr>
                <w:rFonts w:eastAsia="微软雅黑"/>
                <w:color w:val="13161A"/>
                <w:sz w:val="20"/>
                <w:shd w:val="clear" w:color="auto" w:fill="FFFFFF"/>
              </w:rPr>
              <w:t>serving gNB of TX UE determines the SL DRX configurations for RX UE.</w:t>
            </w:r>
          </w:p>
          <w:p w:rsidR="0006185A" w:rsidRDefault="00E90A13">
            <w:pPr>
              <w:numPr>
                <w:ilvl w:val="255"/>
                <w:numId w:val="0"/>
              </w:numPr>
              <w:spacing w:before="120" w:after="120"/>
              <w:rPr>
                <w:b/>
                <w:i/>
                <w:color w:val="FF0000"/>
                <w:sz w:val="20"/>
              </w:rPr>
            </w:pPr>
            <w:r>
              <w:rPr>
                <w:color w:val="FF0000"/>
                <w:sz w:val="20"/>
              </w:rPr>
              <w:t>RAN2 needs to handle different scenarios where gNB supports or not supports SL DRX.</w:t>
            </w:r>
          </w:p>
          <w:p w:rsidR="0006185A" w:rsidRDefault="00E90A13">
            <w:pPr>
              <w:spacing w:before="120" w:after="120"/>
              <w:rPr>
                <w:sz w:val="20"/>
              </w:rPr>
            </w:pPr>
            <w:r>
              <w:rPr>
                <w:color w:val="FF0000"/>
                <w:sz w:val="20"/>
              </w:rPr>
              <w:t>Keep RX UE’s reject option for SL DRX configuration sent by TX UE. If reject happens for initial SL DRX</w:t>
            </w:r>
            <w:r>
              <w:rPr>
                <w:color w:val="FF0000"/>
                <w:sz w:val="20"/>
              </w:rPr>
              <w:t xml:space="preserve"> configuration, default SL DRX configuration is no UC SL DRX. FFS on the default SL DRX configuration for non-initial SL DRX configuration</w:t>
            </w:r>
            <w:r>
              <w:rPr>
                <w:sz w:val="20"/>
              </w:rPr>
              <w:t xml:space="preserve">. </w:t>
            </w:r>
          </w:p>
        </w:tc>
      </w:tr>
    </w:tbl>
    <w:p w:rsidR="0006185A" w:rsidRDefault="00E90A13">
      <w:pPr>
        <w:spacing w:before="120" w:after="120"/>
        <w:rPr>
          <w:color w:val="000000" w:themeColor="text1"/>
          <w:sz w:val="20"/>
        </w:rPr>
      </w:pPr>
      <w:r>
        <w:rPr>
          <w:color w:val="000000" w:themeColor="text1"/>
          <w:sz w:val="20"/>
        </w:rPr>
        <w:t>When a mode 1 TX UE is connected with SL DRX incapable gNB, the TX UE cannot provide SL configuration to RX UE eve</w:t>
      </w:r>
      <w:r>
        <w:rPr>
          <w:color w:val="000000" w:themeColor="text1"/>
          <w:sz w:val="20"/>
        </w:rPr>
        <w:t xml:space="preserve">n if the TX UE itself </w:t>
      </w:r>
      <w:r>
        <w:rPr>
          <w:rFonts w:hint="eastAsia"/>
          <w:color w:val="000000" w:themeColor="text1"/>
          <w:sz w:val="20"/>
        </w:rPr>
        <w:t xml:space="preserve">is </w:t>
      </w:r>
      <w:r>
        <w:rPr>
          <w:color w:val="000000" w:themeColor="text1"/>
          <w:sz w:val="20"/>
        </w:rPr>
        <w:t>SL DRX capable. So if RX UE does not receive any SL DRX configuration from TX UE, there may be two reasons corresponding to each of which different RX UE behavior shall be assumed:</w:t>
      </w:r>
    </w:p>
    <w:p w:rsidR="0006185A" w:rsidRDefault="00E90A13">
      <w:pPr>
        <w:numPr>
          <w:ilvl w:val="0"/>
          <w:numId w:val="11"/>
        </w:numPr>
        <w:spacing w:before="120" w:after="120"/>
        <w:rPr>
          <w:color w:val="000000" w:themeColor="text1"/>
          <w:sz w:val="20"/>
        </w:rPr>
      </w:pPr>
      <w:r>
        <w:rPr>
          <w:color w:val="000000" w:themeColor="text1"/>
          <w:sz w:val="20"/>
        </w:rPr>
        <w:t>The TX UE is in mode 1 and connected with SL DRX i</w:t>
      </w:r>
      <w:r>
        <w:rPr>
          <w:color w:val="000000" w:themeColor="text1"/>
          <w:sz w:val="20"/>
        </w:rPr>
        <w:t>ncapable gNB.</w:t>
      </w:r>
    </w:p>
    <w:p w:rsidR="0006185A" w:rsidRDefault="00E90A13">
      <w:pPr>
        <w:numPr>
          <w:ilvl w:val="0"/>
          <w:numId w:val="11"/>
        </w:numPr>
        <w:spacing w:before="120" w:after="120"/>
        <w:rPr>
          <w:color w:val="000000" w:themeColor="text1"/>
          <w:sz w:val="20"/>
        </w:rPr>
      </w:pPr>
      <w:r>
        <w:rPr>
          <w:color w:val="000000" w:themeColor="text1"/>
          <w:sz w:val="20"/>
        </w:rPr>
        <w:t>The TX UE is in mode 2 and the TX UE does not provide SL DRX configuration.</w:t>
      </w:r>
    </w:p>
    <w:p w:rsidR="0006185A" w:rsidRDefault="00E90A13">
      <w:pPr>
        <w:numPr>
          <w:ilvl w:val="255"/>
          <w:numId w:val="0"/>
        </w:numPr>
        <w:spacing w:before="120" w:after="120"/>
        <w:rPr>
          <w:color w:val="000000" w:themeColor="text1"/>
          <w:sz w:val="20"/>
        </w:rPr>
      </w:pPr>
      <w:r>
        <w:rPr>
          <w:sz w:val="20"/>
        </w:rPr>
        <w:t xml:space="preserve">For the first case, </w:t>
      </w:r>
      <w:r>
        <w:rPr>
          <w:color w:val="000000" w:themeColor="text1"/>
          <w:sz w:val="20"/>
        </w:rPr>
        <w:t>d</w:t>
      </w:r>
      <w:r w:rsidR="0010594D">
        <w:rPr>
          <w:color w:val="000000" w:themeColor="text1"/>
          <w:sz w:val="20"/>
        </w:rPr>
        <w:t>efault SL DRX configuration can</w:t>
      </w:r>
      <w:r>
        <w:rPr>
          <w:color w:val="000000" w:themeColor="text1"/>
          <w:sz w:val="20"/>
        </w:rPr>
        <w:t>not be assumed from RX UE perspective since the gNB will not take the default SL DRX configuration into considera</w:t>
      </w:r>
      <w:r>
        <w:rPr>
          <w:color w:val="000000" w:themeColor="text1"/>
          <w:sz w:val="20"/>
        </w:rPr>
        <w:t>tion when allocating sidelink resource for TX UE. So RX UE has to assume no SL DRX for this case.</w:t>
      </w:r>
    </w:p>
    <w:p w:rsidR="0006185A" w:rsidRDefault="00E90A13">
      <w:pPr>
        <w:pStyle w:val="ZTE-Observation-2021"/>
        <w:spacing w:before="120" w:after="120"/>
        <w:rPr>
          <w:rFonts w:cs="Times New Roman"/>
          <w:lang w:val="en-US" w:eastAsia="zh-CN"/>
        </w:rPr>
      </w:pPr>
      <w:r>
        <w:rPr>
          <w:rFonts w:cs="Times New Roman" w:hint="eastAsia"/>
          <w:lang w:val="en-US" w:eastAsia="zh-CN"/>
        </w:rPr>
        <w:t xml:space="preserve">In case that </w:t>
      </w:r>
      <w:r>
        <w:rPr>
          <w:rFonts w:cs="Times New Roman"/>
        </w:rPr>
        <w:t>TX UE is in mode 1 and connected with SL DRX incapable gNB</w:t>
      </w:r>
      <w:r>
        <w:rPr>
          <w:rFonts w:cs="Times New Roman" w:hint="eastAsia"/>
          <w:lang w:val="en-US" w:eastAsia="zh-CN"/>
        </w:rPr>
        <w:t xml:space="preserve">, </w:t>
      </w:r>
      <w:r>
        <w:rPr>
          <w:rFonts w:cs="Times New Roman"/>
        </w:rPr>
        <w:t>RX UE has to assume no SL DRX</w:t>
      </w:r>
      <w:r>
        <w:rPr>
          <w:rFonts w:cs="Times New Roman" w:hint="eastAsia"/>
          <w:lang w:val="en-US" w:eastAsia="zh-CN"/>
        </w:rPr>
        <w:t>.</w:t>
      </w:r>
    </w:p>
    <w:p w:rsidR="0006185A" w:rsidRDefault="00E90A13">
      <w:pPr>
        <w:numPr>
          <w:ilvl w:val="255"/>
          <w:numId w:val="0"/>
        </w:numPr>
        <w:spacing w:before="120" w:after="120"/>
        <w:rPr>
          <w:color w:val="000000" w:themeColor="text1"/>
          <w:sz w:val="20"/>
        </w:rPr>
      </w:pPr>
      <w:r>
        <w:rPr>
          <w:color w:val="000000" w:themeColor="text1"/>
          <w:sz w:val="20"/>
        </w:rPr>
        <w:t xml:space="preserve">For the second case, since </w:t>
      </w:r>
      <w:r>
        <w:rPr>
          <w:rFonts w:hint="eastAsia"/>
          <w:color w:val="000000" w:themeColor="text1"/>
          <w:sz w:val="20"/>
        </w:rPr>
        <w:t>it is not mandatory for</w:t>
      </w:r>
      <w:r>
        <w:rPr>
          <w:color w:val="000000" w:themeColor="text1"/>
          <w:sz w:val="20"/>
        </w:rPr>
        <w:t xml:space="preserve"> TX UE </w:t>
      </w:r>
      <w:r>
        <w:rPr>
          <w:rFonts w:hint="eastAsia"/>
          <w:color w:val="000000" w:themeColor="text1"/>
          <w:sz w:val="20"/>
        </w:rPr>
        <w:t>to</w:t>
      </w:r>
      <w:r>
        <w:rPr>
          <w:color w:val="000000" w:themeColor="text1"/>
          <w:sz w:val="20"/>
        </w:rPr>
        <w:t xml:space="preserve"> configure SL DRX for the RX UE when the SL DRX capable TX UE is in mode 2</w:t>
      </w:r>
      <w:r>
        <w:rPr>
          <w:rFonts w:hint="eastAsia"/>
          <w:color w:val="000000" w:themeColor="text1"/>
          <w:sz w:val="20"/>
        </w:rPr>
        <w:t xml:space="preserve">, if assuming there is </w:t>
      </w:r>
      <w:r>
        <w:rPr>
          <w:color w:val="000000" w:themeColor="text1"/>
          <w:sz w:val="20"/>
        </w:rPr>
        <w:t>no DRX</w:t>
      </w:r>
      <w:r>
        <w:rPr>
          <w:rFonts w:hint="eastAsia"/>
          <w:color w:val="000000" w:themeColor="text1"/>
          <w:sz w:val="20"/>
        </w:rPr>
        <w:t xml:space="preserve"> for RX UE, this will significantly reduce the benefit of power saving</w:t>
      </w:r>
      <w:r>
        <w:rPr>
          <w:color w:val="000000" w:themeColor="text1"/>
          <w:sz w:val="20"/>
        </w:rPr>
        <w:t>. Thus default SL DRX configuration is supposed to be applied for this cas</w:t>
      </w:r>
      <w:r>
        <w:rPr>
          <w:color w:val="000000" w:themeColor="text1"/>
          <w:sz w:val="20"/>
        </w:rPr>
        <w:t>e</w:t>
      </w:r>
      <w:r>
        <w:rPr>
          <w:rFonts w:hint="eastAsia"/>
          <w:color w:val="000000" w:themeColor="text1"/>
          <w:sz w:val="20"/>
        </w:rPr>
        <w:t>.</w:t>
      </w:r>
    </w:p>
    <w:p w:rsidR="0006185A" w:rsidRDefault="00E90A13">
      <w:pPr>
        <w:pStyle w:val="ZTE-Observation-2021"/>
        <w:spacing w:before="120" w:after="120"/>
        <w:rPr>
          <w:rFonts w:cs="Times New Roman"/>
          <w:lang w:val="en-US" w:eastAsia="zh-CN"/>
        </w:rPr>
      </w:pPr>
      <w:r>
        <w:rPr>
          <w:rFonts w:cs="Times New Roman" w:hint="eastAsia"/>
          <w:lang w:val="en-US" w:eastAsia="zh-CN"/>
        </w:rPr>
        <w:t>In case that TX UE is in mode 2 and SL DRX configuration is not provided to RX UE, default SL DRX configuration is supposed to be applied.</w:t>
      </w:r>
    </w:p>
    <w:p w:rsidR="0006185A" w:rsidRDefault="00E90A13">
      <w:pPr>
        <w:numPr>
          <w:ilvl w:val="255"/>
          <w:numId w:val="0"/>
        </w:numPr>
        <w:spacing w:before="120" w:after="120"/>
        <w:rPr>
          <w:color w:val="000000" w:themeColor="text1"/>
          <w:sz w:val="20"/>
        </w:rPr>
      </w:pPr>
      <w:r>
        <w:rPr>
          <w:color w:val="000000" w:themeColor="text1"/>
          <w:sz w:val="20"/>
        </w:rPr>
        <w:t xml:space="preserve">Given RAN2 has agreed to handle the scenario where gNB does not support SL DRX under which the RX UE shall assume </w:t>
      </w:r>
      <w:r>
        <w:rPr>
          <w:color w:val="000000" w:themeColor="text1"/>
          <w:sz w:val="20"/>
        </w:rPr>
        <w:t xml:space="preserve">no </w:t>
      </w:r>
      <w:r>
        <w:rPr>
          <w:rFonts w:hint="eastAsia"/>
          <w:color w:val="000000" w:themeColor="text1"/>
          <w:sz w:val="20"/>
        </w:rPr>
        <w:t xml:space="preserve">SL DRX </w:t>
      </w:r>
      <w:r>
        <w:rPr>
          <w:color w:val="000000" w:themeColor="text1"/>
          <w:sz w:val="20"/>
        </w:rPr>
        <w:t xml:space="preserve">instead of </w:t>
      </w:r>
      <w:r>
        <w:rPr>
          <w:rFonts w:hint="eastAsia"/>
          <w:color w:val="000000" w:themeColor="text1"/>
          <w:sz w:val="20"/>
        </w:rPr>
        <w:t>default</w:t>
      </w:r>
      <w:r>
        <w:rPr>
          <w:color w:val="000000" w:themeColor="text1"/>
          <w:sz w:val="20"/>
        </w:rPr>
        <w:t xml:space="preserve"> SL DRX, there should be mechanism defined for RX UE to distinguish this case from the case when TX UE does not provide SL DRX configuration in mode 2. Potential solution is allowing TX UE to inform RX UE that the TX UE is in mo</w:t>
      </w:r>
      <w:r>
        <w:rPr>
          <w:color w:val="000000" w:themeColor="text1"/>
          <w:sz w:val="20"/>
        </w:rPr>
        <w:t xml:space="preserve">de 1 and </w:t>
      </w:r>
      <w:r>
        <w:rPr>
          <w:sz w:val="20"/>
        </w:rPr>
        <w:t>connected with SL DRX incapable gNB.</w:t>
      </w:r>
    </w:p>
    <w:p w:rsidR="0006185A" w:rsidRDefault="00E90A13">
      <w:pPr>
        <w:pStyle w:val="ZTE-Proposal-20210505"/>
        <w:spacing w:before="120" w:after="120"/>
        <w:rPr>
          <w:rFonts w:cs="Times New Roman"/>
        </w:rPr>
      </w:pPr>
      <w:r>
        <w:rPr>
          <w:rFonts w:cs="Times New Roman"/>
          <w:lang w:eastAsia="zh-CN"/>
        </w:rPr>
        <w:t xml:space="preserve">Task RAN2 to implement the mechanism on Tx UE informing Rx UE that </w:t>
      </w:r>
      <w:r>
        <w:rPr>
          <w:rFonts w:cs="Times New Roman"/>
          <w:lang w:val="en-US" w:eastAsia="zh-CN"/>
        </w:rPr>
        <w:t>t</w:t>
      </w:r>
      <w:r>
        <w:rPr>
          <w:rFonts w:cs="Times New Roman"/>
          <w:lang w:eastAsia="zh-CN"/>
        </w:rPr>
        <w:t>he TX UE is in mode 1 and connected with SL DRX incapable gNB during CR phase</w:t>
      </w:r>
      <w:r>
        <w:rPr>
          <w:rFonts w:cs="Times New Roman"/>
          <w:lang w:val="en-US" w:eastAsia="zh-CN"/>
        </w:rPr>
        <w:t>.</w:t>
      </w:r>
    </w:p>
    <w:p w:rsidR="0006185A" w:rsidRDefault="0006185A">
      <w:pPr>
        <w:pStyle w:val="ZTE-Proposal-20210505"/>
        <w:numPr>
          <w:ilvl w:val="0"/>
          <w:numId w:val="0"/>
        </w:numPr>
        <w:spacing w:before="120" w:after="120"/>
        <w:rPr>
          <w:highlight w:val="yellow"/>
        </w:rPr>
      </w:pPr>
    </w:p>
    <w:p w:rsidR="0006185A" w:rsidRDefault="00E90A13">
      <w:pPr>
        <w:pStyle w:val="1"/>
        <w:spacing w:before="120" w:after="120"/>
        <w:ind w:left="0"/>
        <w:rPr>
          <w:rFonts w:eastAsia="宋体"/>
        </w:rPr>
      </w:pPr>
      <w:r>
        <w:rPr>
          <w:rFonts w:eastAsia="宋体" w:hint="eastAsia"/>
        </w:rPr>
        <w:t>Conclusion</w:t>
      </w:r>
    </w:p>
    <w:p w:rsidR="0006185A" w:rsidRDefault="00E90A13">
      <w:pPr>
        <w:spacing w:before="120" w:after="120"/>
        <w:rPr>
          <w:sz w:val="20"/>
        </w:rPr>
      </w:pPr>
      <w:r>
        <w:rPr>
          <w:sz w:val="20"/>
        </w:rPr>
        <w:t>Based on above discussion, we propose to declare th</w:t>
      </w:r>
      <w:r>
        <w:rPr>
          <w:sz w:val="20"/>
        </w:rPr>
        <w:t xml:space="preserve">e completion level of Rel-17 NR sidelink enhancements WI is “100%” by March, 2022. </w:t>
      </w:r>
      <w:r>
        <w:rPr>
          <w:rFonts w:hint="eastAsia"/>
          <w:sz w:val="20"/>
        </w:rPr>
        <w:t xml:space="preserve">The </w:t>
      </w:r>
      <w:r>
        <w:rPr>
          <w:iCs/>
          <w:sz w:val="20"/>
        </w:rPr>
        <w:t>following observations and proposals</w:t>
      </w:r>
      <w:r>
        <w:rPr>
          <w:rFonts w:hint="eastAsia"/>
          <w:iCs/>
          <w:sz w:val="20"/>
        </w:rPr>
        <w:t xml:space="preserve"> are made in the meantime to address the remaining details and facilitate RAN1/RAN2 work in Q2 2022 where only issues with consensus that can deteriorate the system functionality qualifies being discussed. </w:t>
      </w:r>
    </w:p>
    <w:p w:rsidR="0006185A" w:rsidRDefault="00E90A13">
      <w:pPr>
        <w:pStyle w:val="10"/>
        <w:tabs>
          <w:tab w:val="right" w:pos="9660"/>
        </w:tabs>
        <w:spacing w:before="120" w:after="120"/>
      </w:pPr>
      <w:r>
        <w:fldChar w:fldCharType="begin"/>
      </w:r>
      <w:r>
        <w:instrText xml:space="preserve"> TOC \n \t "!ZTE-Observation-2021,1,sub-observati</w:instrText>
      </w:r>
      <w:r>
        <w:instrText xml:space="preserve">on,2,3rd level observation,3" </w:instrText>
      </w:r>
      <w:r>
        <w:fldChar w:fldCharType="separate"/>
      </w:r>
      <w:r>
        <w:rPr>
          <w:rFonts w:hint="eastAsia"/>
        </w:rPr>
        <w:t xml:space="preserve">Observation 1: </w:t>
      </w:r>
      <w:r>
        <w:t xml:space="preserve">The issue is closed with the understanding that </w:t>
      </w:r>
      <w:r>
        <w:t>the selection or reporting of the subset within the DRX active of RX UE is up to implementation</w:t>
      </w:r>
      <w:r>
        <w:t>.</w:t>
      </w:r>
    </w:p>
    <w:p w:rsidR="0006185A" w:rsidRDefault="00E90A13">
      <w:pPr>
        <w:pStyle w:val="10"/>
        <w:tabs>
          <w:tab w:val="right" w:pos="9660"/>
        </w:tabs>
        <w:spacing w:before="120" w:after="120"/>
      </w:pPr>
      <w:r>
        <w:rPr>
          <w:rFonts w:hint="eastAsia"/>
        </w:rPr>
        <w:t xml:space="preserve">Observation 2: </w:t>
      </w:r>
      <w:r>
        <w:rPr>
          <w:rFonts w:hint="eastAsia"/>
        </w:rPr>
        <w:t xml:space="preserve">In case that </w:t>
      </w:r>
      <w:r>
        <w:t xml:space="preserve">TX UE is in mode 1 and connected with </w:t>
      </w:r>
      <w:r>
        <w:t>SL DRX incapable gNB</w:t>
      </w:r>
      <w:r>
        <w:rPr>
          <w:rFonts w:hint="eastAsia"/>
        </w:rPr>
        <w:t xml:space="preserve">, </w:t>
      </w:r>
      <w:r>
        <w:t>RX UE has to assume no SL DRX</w:t>
      </w:r>
      <w:r>
        <w:rPr>
          <w:rFonts w:hint="eastAsia"/>
        </w:rPr>
        <w:t>.</w:t>
      </w:r>
    </w:p>
    <w:p w:rsidR="0006185A" w:rsidRDefault="00E90A13">
      <w:pPr>
        <w:pStyle w:val="10"/>
        <w:tabs>
          <w:tab w:val="right" w:pos="9660"/>
        </w:tabs>
        <w:spacing w:before="120" w:after="120"/>
      </w:pPr>
      <w:r>
        <w:rPr>
          <w:rFonts w:hint="eastAsia"/>
        </w:rPr>
        <w:t xml:space="preserve">Observation 3: </w:t>
      </w:r>
      <w:r>
        <w:rPr>
          <w:rFonts w:hint="eastAsia"/>
        </w:rPr>
        <w:t>In case that TX UE is in mode 2 and SL DRX configuration is not provided to RX UE, default SL DRX configuration is supposed to be applied.</w:t>
      </w:r>
    </w:p>
    <w:p w:rsidR="0006185A" w:rsidRDefault="00E90A13">
      <w:pPr>
        <w:tabs>
          <w:tab w:val="left" w:pos="1260"/>
          <w:tab w:val="right" w:pos="9650"/>
        </w:tabs>
        <w:spacing w:before="120" w:after="120"/>
        <w:rPr>
          <w:sz w:val="20"/>
        </w:rPr>
      </w:pPr>
      <w:r>
        <w:fldChar w:fldCharType="end"/>
      </w:r>
      <w:r>
        <w:rPr>
          <w:sz w:val="20"/>
        </w:rPr>
        <w:fldChar w:fldCharType="begin"/>
      </w:r>
      <w:r>
        <w:rPr>
          <w:sz w:val="20"/>
        </w:rPr>
        <w:instrText xml:space="preserve"> TOC \n \t "!ZTE-Proposal-2021 + </w:instrText>
      </w:r>
      <w:r>
        <w:rPr>
          <w:sz w:val="20"/>
        </w:rPr>
        <w:instrText>段前</w:instrText>
      </w:r>
      <w:r>
        <w:rPr>
          <w:sz w:val="20"/>
        </w:rPr>
        <w:instrText xml:space="preserve">: 0.5 </w:instrText>
      </w:r>
      <w:r>
        <w:rPr>
          <w:sz w:val="20"/>
        </w:rPr>
        <w:instrText>行</w:instrText>
      </w:r>
      <w:r>
        <w:rPr>
          <w:sz w:val="20"/>
        </w:rPr>
        <w:instrText xml:space="preserve"> </w:instrText>
      </w:r>
      <w:r>
        <w:rPr>
          <w:sz w:val="20"/>
        </w:rPr>
        <w:instrText>段后</w:instrText>
      </w:r>
      <w:r>
        <w:rPr>
          <w:sz w:val="20"/>
        </w:rPr>
        <w:instrText>:</w:instrText>
      </w:r>
      <w:r>
        <w:rPr>
          <w:sz w:val="20"/>
        </w:rPr>
        <w:instrText xml:space="preserve"> 0.5 </w:instrText>
      </w:r>
      <w:r>
        <w:rPr>
          <w:sz w:val="20"/>
        </w:rPr>
        <w:instrText>行</w:instrText>
      </w:r>
      <w:r>
        <w:rPr>
          <w:sz w:val="20"/>
        </w:rPr>
        <w:instrText xml:space="preserve">,1,sub-proposal,2,3rd level proposal,3" </w:instrText>
      </w:r>
      <w:r>
        <w:rPr>
          <w:sz w:val="20"/>
        </w:rPr>
        <w:fldChar w:fldCharType="separate"/>
      </w:r>
    </w:p>
    <w:p w:rsidR="0006185A" w:rsidRDefault="00E90A13">
      <w:pPr>
        <w:pStyle w:val="10"/>
        <w:tabs>
          <w:tab w:val="right" w:pos="9660"/>
        </w:tabs>
        <w:spacing w:before="120" w:after="120"/>
      </w:pPr>
      <w:r>
        <w:rPr>
          <w:rFonts w:hint="eastAsia"/>
        </w:rPr>
        <w:t xml:space="preserve">Proposal 1: </w:t>
      </w:r>
      <w:r>
        <w:t>No further discussion in RAN1 for the split of PSFC</w:t>
      </w:r>
      <w:r>
        <w:t>H and S-SSB reception for the UE feature 32-2.</w:t>
      </w:r>
    </w:p>
    <w:p w:rsidR="0006185A" w:rsidRDefault="00E90A13">
      <w:pPr>
        <w:pStyle w:val="20"/>
        <w:tabs>
          <w:tab w:val="right" w:pos="9660"/>
        </w:tabs>
        <w:spacing w:before="120" w:after="120"/>
        <w:ind w:left="420"/>
      </w:pPr>
      <w:r>
        <w:rPr>
          <w:rFonts w:ascii="Arial" w:hAnsi="Arial" w:cs="Arial"/>
        </w:rPr>
        <w:lastRenderedPageBreak/>
        <w:t xml:space="preserve">• </w:t>
      </w:r>
      <w:r>
        <w:t>The UE capable of receiving PSFCH and S-SSB only is supported.</w:t>
      </w:r>
    </w:p>
    <w:p w:rsidR="0006185A" w:rsidRDefault="00E90A13">
      <w:pPr>
        <w:pStyle w:val="10"/>
        <w:tabs>
          <w:tab w:val="right" w:pos="9660"/>
        </w:tabs>
        <w:spacing w:before="120" w:after="120"/>
      </w:pPr>
      <w:r>
        <w:rPr>
          <w:rFonts w:hint="eastAsia"/>
        </w:rPr>
        <w:t xml:space="preserve">Proposal 2: </w:t>
      </w:r>
      <w:r>
        <w:t>RAN acknowledges that</w:t>
      </w:r>
      <w:r>
        <w:t xml:space="preserve"> </w:t>
      </w:r>
      <w:r>
        <w:t xml:space="preserve">Rel-17 </w:t>
      </w:r>
      <w:r>
        <w:t>e</w:t>
      </w:r>
      <w:r>
        <w:t>SL is functionally complete from RAN1 perspective.</w:t>
      </w:r>
    </w:p>
    <w:p w:rsidR="0006185A" w:rsidRDefault="00E90A13">
      <w:pPr>
        <w:pStyle w:val="10"/>
        <w:tabs>
          <w:tab w:val="right" w:pos="9660"/>
        </w:tabs>
        <w:spacing w:before="120" w:after="120"/>
      </w:pPr>
      <w:r>
        <w:rPr>
          <w:rFonts w:hint="eastAsia"/>
        </w:rPr>
        <w:t xml:space="preserve">Proposal 3: </w:t>
      </w:r>
      <w:r>
        <w:t xml:space="preserve">Task RAN2 to implement the mechanism on Tx UE informing Rx UE that </w:t>
      </w:r>
      <w:r>
        <w:t>t</w:t>
      </w:r>
      <w:r>
        <w:t>he TX UE is in mode 1 and connected with SL DRX incapable gNB during CR phase</w:t>
      </w:r>
      <w:r>
        <w:t>.</w:t>
      </w:r>
    </w:p>
    <w:p w:rsidR="0006185A" w:rsidRDefault="00E90A13">
      <w:pPr>
        <w:tabs>
          <w:tab w:val="left" w:pos="1260"/>
          <w:tab w:val="right" w:pos="9650"/>
        </w:tabs>
        <w:spacing w:before="120" w:after="120"/>
        <w:rPr>
          <w:sz w:val="20"/>
        </w:rPr>
      </w:pPr>
      <w:r>
        <w:rPr>
          <w:sz w:val="20"/>
        </w:rPr>
        <w:fldChar w:fldCharType="end"/>
      </w:r>
    </w:p>
    <w:p w:rsidR="0006185A" w:rsidRDefault="00E90A13">
      <w:pPr>
        <w:pStyle w:val="1"/>
        <w:spacing w:before="120" w:after="120"/>
        <w:ind w:left="0"/>
        <w:rPr>
          <w:rFonts w:eastAsia="宋体"/>
        </w:rPr>
      </w:pPr>
      <w:r>
        <w:rPr>
          <w:rFonts w:eastAsia="宋体" w:hint="eastAsia"/>
        </w:rPr>
        <w:t>Reference</w:t>
      </w:r>
      <w:r>
        <w:rPr>
          <w:rFonts w:eastAsia="宋体"/>
        </w:rPr>
        <w:t>s</w:t>
      </w:r>
    </w:p>
    <w:p w:rsidR="0006185A" w:rsidRDefault="00E90A13">
      <w:pPr>
        <w:pStyle w:val="References"/>
        <w:numPr>
          <w:ilvl w:val="0"/>
          <w:numId w:val="12"/>
        </w:numPr>
        <w:spacing w:before="120" w:after="120" w:line="256" w:lineRule="auto"/>
        <w:ind w:left="363" w:hanging="363"/>
        <w:rPr>
          <w:sz w:val="20"/>
          <w:szCs w:val="20"/>
        </w:rPr>
      </w:pPr>
      <w:r>
        <w:rPr>
          <w:sz w:val="20"/>
          <w:szCs w:val="20"/>
        </w:rPr>
        <w:t xml:space="preserve">MeetingReport_RAN_94e, </w:t>
      </w:r>
      <w:r>
        <w:rPr>
          <w:sz w:val="20"/>
          <w:szCs w:val="20"/>
        </w:rPr>
        <w:t>3GPP TSG RAN 94e, Dec. 6-17, 2021</w:t>
      </w:r>
    </w:p>
    <w:p w:rsidR="0006185A" w:rsidRDefault="00E90A13">
      <w:pPr>
        <w:pStyle w:val="References"/>
        <w:numPr>
          <w:ilvl w:val="0"/>
          <w:numId w:val="12"/>
        </w:numPr>
        <w:spacing w:before="120" w:after="120" w:line="256" w:lineRule="auto"/>
        <w:ind w:left="363" w:hanging="363"/>
        <w:rPr>
          <w:sz w:val="20"/>
          <w:szCs w:val="20"/>
        </w:rPr>
      </w:pPr>
      <w:r>
        <w:rPr>
          <w:sz w:val="20"/>
          <w:szCs w:val="20"/>
        </w:rPr>
        <w:t>RAN1 Chair’s Notes, 3GPP TSG RAN WG1 #107b-e, e-Meeting, January 17</w:t>
      </w:r>
      <w:r>
        <w:rPr>
          <w:sz w:val="20"/>
          <w:szCs w:val="20"/>
          <w:vertAlign w:val="superscript"/>
        </w:rPr>
        <w:t>th</w:t>
      </w:r>
      <w:r>
        <w:rPr>
          <w:sz w:val="20"/>
          <w:szCs w:val="20"/>
        </w:rPr>
        <w:t xml:space="preserve"> – 25</w:t>
      </w:r>
      <w:r>
        <w:rPr>
          <w:sz w:val="20"/>
          <w:szCs w:val="20"/>
          <w:vertAlign w:val="superscript"/>
        </w:rPr>
        <w:t>th</w:t>
      </w:r>
      <w:r>
        <w:rPr>
          <w:sz w:val="20"/>
          <w:szCs w:val="20"/>
        </w:rPr>
        <w:t>, 2022.</w:t>
      </w:r>
    </w:p>
    <w:p w:rsidR="0006185A" w:rsidRDefault="00E90A13">
      <w:pPr>
        <w:pStyle w:val="References"/>
        <w:numPr>
          <w:ilvl w:val="0"/>
          <w:numId w:val="12"/>
        </w:numPr>
        <w:spacing w:before="120" w:after="120" w:line="256" w:lineRule="auto"/>
        <w:ind w:left="363" w:hanging="363"/>
        <w:rPr>
          <w:sz w:val="20"/>
          <w:szCs w:val="20"/>
        </w:rPr>
      </w:pPr>
      <w:r>
        <w:rPr>
          <w:sz w:val="20"/>
          <w:szCs w:val="20"/>
        </w:rPr>
        <w:t>RAN1 Chair’s Notes, 3GPP TSG RAN WG1 #108-e, e-Meeting, February 21</w:t>
      </w:r>
      <w:r>
        <w:rPr>
          <w:sz w:val="20"/>
          <w:szCs w:val="20"/>
          <w:vertAlign w:val="superscript"/>
        </w:rPr>
        <w:t>st</w:t>
      </w:r>
      <w:r>
        <w:rPr>
          <w:sz w:val="20"/>
          <w:szCs w:val="20"/>
        </w:rPr>
        <w:t xml:space="preserve"> – March 3</w:t>
      </w:r>
      <w:r>
        <w:rPr>
          <w:sz w:val="20"/>
          <w:szCs w:val="20"/>
          <w:vertAlign w:val="superscript"/>
        </w:rPr>
        <w:t>rd</w:t>
      </w:r>
      <w:r>
        <w:rPr>
          <w:sz w:val="20"/>
          <w:szCs w:val="20"/>
        </w:rPr>
        <w:t>, 2022</w:t>
      </w:r>
    </w:p>
    <w:p w:rsidR="0006185A" w:rsidRDefault="00E90A13">
      <w:pPr>
        <w:pStyle w:val="References"/>
        <w:numPr>
          <w:ilvl w:val="0"/>
          <w:numId w:val="12"/>
        </w:numPr>
        <w:spacing w:before="120" w:after="120" w:line="256" w:lineRule="auto"/>
        <w:ind w:left="363" w:hanging="363"/>
        <w:rPr>
          <w:sz w:val="20"/>
          <w:szCs w:val="20"/>
        </w:rPr>
      </w:pPr>
      <w:r>
        <w:rPr>
          <w:sz w:val="20"/>
          <w:szCs w:val="20"/>
        </w:rPr>
        <w:t>R2_116bis-e Chair Notes, 3GPP TSG RAN WG</w:t>
      </w:r>
      <w:r>
        <w:rPr>
          <w:rFonts w:hint="eastAsia"/>
          <w:sz w:val="20"/>
          <w:szCs w:val="20"/>
        </w:rPr>
        <w:t>2</w:t>
      </w:r>
      <w:r>
        <w:rPr>
          <w:sz w:val="20"/>
          <w:szCs w:val="20"/>
        </w:rPr>
        <w:t xml:space="preserve">, </w:t>
      </w:r>
      <w:r>
        <w:rPr>
          <w:sz w:val="20"/>
          <w:szCs w:val="20"/>
        </w:rPr>
        <w:t>e-Meeting, January 17 – 25, 2022</w:t>
      </w:r>
    </w:p>
    <w:p w:rsidR="0006185A" w:rsidRDefault="00E90A13">
      <w:pPr>
        <w:pStyle w:val="References"/>
        <w:numPr>
          <w:ilvl w:val="0"/>
          <w:numId w:val="12"/>
        </w:numPr>
        <w:spacing w:before="120" w:after="120" w:line="256" w:lineRule="auto"/>
        <w:ind w:left="363" w:hanging="363"/>
        <w:rPr>
          <w:sz w:val="20"/>
          <w:szCs w:val="20"/>
        </w:rPr>
      </w:pPr>
      <w:r>
        <w:rPr>
          <w:sz w:val="20"/>
          <w:szCs w:val="20"/>
        </w:rPr>
        <w:t>R2_117-e Chair Notes, 3GPP TSG RAN WG</w:t>
      </w:r>
      <w:r>
        <w:rPr>
          <w:rFonts w:hint="eastAsia"/>
          <w:sz w:val="20"/>
          <w:szCs w:val="20"/>
        </w:rPr>
        <w:t>2</w:t>
      </w:r>
      <w:r>
        <w:rPr>
          <w:sz w:val="20"/>
          <w:szCs w:val="20"/>
        </w:rPr>
        <w:t>, e-Meeting, Febuary 21 – March 3, 2022</w:t>
      </w:r>
    </w:p>
    <w:p w:rsidR="0006185A" w:rsidRDefault="0006185A">
      <w:pPr>
        <w:spacing w:before="120" w:after="120"/>
      </w:pPr>
    </w:p>
    <w:p w:rsidR="0006185A" w:rsidRDefault="0006185A">
      <w:pPr>
        <w:spacing w:before="120" w:after="120"/>
      </w:pPr>
    </w:p>
    <w:p w:rsidR="0006185A" w:rsidRDefault="0006185A">
      <w:pPr>
        <w:spacing w:before="120" w:after="120"/>
        <w:rPr>
          <w:sz w:val="20"/>
        </w:rPr>
      </w:pPr>
    </w:p>
    <w:p w:rsidR="0006185A" w:rsidRDefault="0006185A">
      <w:pPr>
        <w:spacing w:before="120" w:after="120"/>
        <w:rPr>
          <w:sz w:val="20"/>
        </w:rPr>
      </w:pPr>
    </w:p>
    <w:p w:rsidR="0006185A" w:rsidRDefault="0006185A">
      <w:pPr>
        <w:spacing w:before="120" w:after="120"/>
        <w:rPr>
          <w:sz w:val="20"/>
        </w:rPr>
      </w:pPr>
    </w:p>
    <w:p w:rsidR="0006185A" w:rsidRDefault="0006185A">
      <w:pPr>
        <w:spacing w:before="120" w:after="120"/>
        <w:rPr>
          <w:sz w:val="20"/>
        </w:rPr>
      </w:pPr>
    </w:p>
    <w:sectPr w:rsidR="0006185A">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0A13" w:rsidRDefault="00E90A13">
      <w:pPr>
        <w:spacing w:before="120" w:after="120"/>
      </w:pPr>
      <w:r>
        <w:separator/>
      </w:r>
    </w:p>
  </w:endnote>
  <w:endnote w:type="continuationSeparator" w:id="0">
    <w:p w:rsidR="00E90A13" w:rsidRDefault="00E90A1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85A" w:rsidRDefault="0006185A">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85A" w:rsidRDefault="0010594D">
    <w:pPr>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310" cy="305435"/>
              <wp:effectExtent l="0" t="0" r="2540" b="1206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310" cy="305435"/>
                      </a:xfrm>
                      <a:prstGeom prst="rect">
                        <a:avLst/>
                      </a:prstGeom>
                      <a:noFill/>
                      <a:ln w="6350">
                        <a:noFill/>
                      </a:ln>
                      <a:effectLst/>
                    </wps:spPr>
                    <wps:txbx>
                      <w:txbxContent>
                        <w:p w:rsidR="0006185A" w:rsidRDefault="00E90A13">
                          <w:pPr>
                            <w:spacing w:before="120" w:after="120"/>
                          </w:pPr>
                          <w:r>
                            <w:rPr>
                              <w:rFonts w:hint="eastAsia"/>
                            </w:rPr>
                            <w:fldChar w:fldCharType="begin"/>
                          </w:r>
                          <w:r>
                            <w:rPr>
                              <w:rFonts w:hint="eastAsia"/>
                            </w:rPr>
                            <w:instrText xml:space="preserve"> PAGE  \* MERGEFORMAT </w:instrText>
                          </w:r>
                          <w:r>
                            <w:rPr>
                              <w:rFonts w:hint="eastAsia"/>
                            </w:rPr>
                            <w:fldChar w:fldCharType="separate"/>
                          </w:r>
                          <w:r w:rsidR="0010594D">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5.3pt;height:24.0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Ny1IgIAACsEAAAOAAAAZHJzL2Uyb0RvYy54bWysU02O0zAY3SNxB8t7mnRKBxQ1HZUZFSFV&#10;zEgFsXYdp4mIf2S7TcoB4AasZsOec/UcPDtNOwJWiI3z4u/5ff+zm042ZC+sq7XK6XiUUiIU10Wt&#10;tjn9+GH54jUlzjNVsEYrkdODcPRm/vzZrDWZuNKVbgphCUSUy1qT08p7kyWJ45WQzI20EQrGUlvJ&#10;PH7tNiksa6Eum+QqTa+TVtvCWM2Fc7i96410HvXLUnB/X5ZOeNLkFLH5eNp4bsKZzGcs21pmqpqf&#10;wmD/EIVktYLTs9Qd84zsbP2HlKy51U6XfsS1THRZ1lzEHJDNOP0tm3XFjIi5oDjOnMvk/p8sf79/&#10;sKQu0DtKFJNo0fH7t+Pjz+OPr2QcytMal4G1NuD57o3uAjWk6sxK888OlOQJp3/gwA6crrQyfJEo&#10;wUN04HCuuug84bi8fjUZw8BhmaTTl5Np8Jpc3hrr/FuhJQkgpxY9jf7ZfuV8Tx0owZXSy7ppcM+y&#10;RpEW+pNpGh+cLRBvVCCIOCEnmZBEH3dAvtt0EAlwo4sDkre6nx5n+LJGKCvm/AOzGBdEjxXw9zjK&#10;RsOlPiFKKm2//O0+8NFFWClpMX45VdgPSpp3Ct0NkzoAO4DNANRO3mrMMzqGWCLEA+ubAZZWy0/Y&#10;i0XwARNTHJ5y6gd46/sVwF5xsVhEEubRML9Sa8MvHV7sPMoZq3ypxKnhmMjYp9P2hJF/+h9Zlx2f&#10;/wIAAP//AwBQSwMEFAAGAAgAAAAhAG2q6CfbAAAAAwEAAA8AAABkcnMvZG93bnJldi54bWxMj8Fq&#10;wzAQRO+F/oPYQm+NnMQE43odTCCHQi+Nc2hvirWxTa2VsJTEzddX6aW5LAwzzLwt1pMZxJlG31tG&#10;mM8SEMSN1T23CPt6+5KB8EGxVoNlQvghD+vy8aFQubYX/qDzLrQilrDPFUIXgsul9E1HRvmZdcTR&#10;O9rRqBDl2Eo9qkssN4NcJMlKGtVzXOiUo01HzffuZBDCm8sWVXtN3fv161jX1dKnn0vE56epegUR&#10;aAr/YbjhR3QoI9PBnlh7MSDER8LfvXnJCsQBIc3mIMtC3rOXvwAAAP//AwBQSwECLQAUAAYACAAA&#10;ACEAtoM4kv4AAADhAQAAEwAAAAAAAAAAAAAAAAAAAAAAW0NvbnRlbnRfVHlwZXNdLnhtbFBLAQIt&#10;ABQABgAIAAAAIQA4/SH/1gAAAJQBAAALAAAAAAAAAAAAAAAAAC8BAABfcmVscy8ucmVsc1BLAQIt&#10;ABQABgAIAAAAIQAacNy1IgIAACsEAAAOAAAAAAAAAAAAAAAAAC4CAABkcnMvZTJvRG9jLnhtbFBL&#10;AQItABQABgAIAAAAIQBtqugn2wAAAAMBAAAPAAAAAAAAAAAAAAAAAHwEAABkcnMvZG93bnJldi54&#10;bWxQSwUGAAAAAAQABADzAAAAhAUAAAAA&#10;" filled="f" stroked="f" strokeweight=".5pt">
              <v:path arrowok="t"/>
              <v:textbox style="mso-fit-shape-to-text:t" inset="0,0,0,0">
                <w:txbxContent>
                  <w:p w:rsidR="0006185A" w:rsidRDefault="00E90A13">
                    <w:pPr>
                      <w:spacing w:before="120" w:after="120"/>
                    </w:pPr>
                    <w:r>
                      <w:rPr>
                        <w:rFonts w:hint="eastAsia"/>
                      </w:rPr>
                      <w:fldChar w:fldCharType="begin"/>
                    </w:r>
                    <w:r>
                      <w:rPr>
                        <w:rFonts w:hint="eastAsia"/>
                      </w:rPr>
                      <w:instrText xml:space="preserve"> PAGE  \* MERGEFORMAT </w:instrText>
                    </w:r>
                    <w:r>
                      <w:rPr>
                        <w:rFonts w:hint="eastAsia"/>
                      </w:rPr>
                      <w:fldChar w:fldCharType="separate"/>
                    </w:r>
                    <w:r w:rsidR="0010594D">
                      <w:rPr>
                        <w:noProof/>
                      </w:rPr>
                      <w:t>1</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85A" w:rsidRDefault="0006185A">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0A13" w:rsidRDefault="00E90A13">
      <w:pPr>
        <w:spacing w:before="120" w:after="120"/>
      </w:pPr>
      <w:r>
        <w:separator/>
      </w:r>
    </w:p>
  </w:footnote>
  <w:footnote w:type="continuationSeparator" w:id="0">
    <w:p w:rsidR="00E90A13" w:rsidRDefault="00E90A13">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85A" w:rsidRDefault="0006185A">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85A" w:rsidRPr="00FD22EE" w:rsidRDefault="0006185A" w:rsidP="00FD22EE">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85A" w:rsidRDefault="0006185A">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BC45FA4"/>
    <w:multiLevelType w:val="singleLevel"/>
    <w:tmpl w:val="8BC45FA4"/>
    <w:lvl w:ilvl="0">
      <w:start w:val="1"/>
      <w:numFmt w:val="bullet"/>
      <w:lvlText w:val=""/>
      <w:lvlJc w:val="left"/>
      <w:pPr>
        <w:tabs>
          <w:tab w:val="left" w:pos="420"/>
        </w:tabs>
        <w:ind w:left="840" w:hanging="420"/>
      </w:pPr>
      <w:rPr>
        <w:rFonts w:ascii="Wingdings" w:hAnsi="Wingdings" w:cs="Wingdings" w:hint="default"/>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FAAE027E"/>
    <w:multiLevelType w:val="multilevel"/>
    <w:tmpl w:val="FAAE027E"/>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vanish w:val="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3B4E5C33"/>
    <w:multiLevelType w:val="multilevel"/>
    <w:tmpl w:val="3B4E5C33"/>
    <w:lvl w:ilvl="0">
      <w:start w:val="1"/>
      <w:numFmt w:val="decimal"/>
      <w:lvlText w:val="[%1]"/>
      <w:lvlJc w:val="left"/>
      <w:pPr>
        <w:tabs>
          <w:tab w:val="left" w:pos="360"/>
        </w:tabs>
        <w:ind w:left="360" w:hanging="36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8">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16359E9"/>
    <w:multiLevelType w:val="multilevel"/>
    <w:tmpl w:val="616359E9"/>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
      <w:lvlJc w:val="left"/>
      <w:pPr>
        <w:tabs>
          <w:tab w:val="left" w:pos="1440"/>
        </w:tabs>
        <w:ind w:left="1440" w:hanging="360"/>
      </w:pPr>
      <w:rPr>
        <w:rFonts w:ascii="Symbol" w:hAnsi="Symbol"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10">
    <w:nsid w:val="6FD3C5C1"/>
    <w:multiLevelType w:val="singleLevel"/>
    <w:tmpl w:val="6FD3C5C1"/>
    <w:lvl w:ilvl="0">
      <w:start w:val="1"/>
      <w:numFmt w:val="decimal"/>
      <w:suff w:val="space"/>
      <w:lvlText w:val="%1)"/>
      <w:lvlJc w:val="left"/>
    </w:lvl>
  </w:abstractNum>
  <w:abstractNum w:abstractNumId="11">
    <w:nsid w:val="7DC436CD"/>
    <w:multiLevelType w:val="singleLevel"/>
    <w:tmpl w:val="7DC436CD"/>
    <w:lvl w:ilvl="0">
      <w:start w:val="1"/>
      <w:numFmt w:val="bullet"/>
      <w:pStyle w:val="sub-proposal"/>
      <w:lvlText w:val="•"/>
      <w:lvlJc w:val="left"/>
      <w:pPr>
        <w:tabs>
          <w:tab w:val="left" w:pos="1260"/>
        </w:tabs>
        <w:ind w:left="1260" w:hanging="378"/>
      </w:pPr>
      <w:rPr>
        <w:rFonts w:ascii="Arial" w:hAnsi="Arial" w:cs="Arial" w:hint="default"/>
      </w:rPr>
    </w:lvl>
  </w:abstractNum>
  <w:num w:numId="1">
    <w:abstractNumId w:val="3"/>
  </w:num>
  <w:num w:numId="2">
    <w:abstractNumId w:val="4"/>
  </w:num>
  <w:num w:numId="3">
    <w:abstractNumId w:val="8"/>
  </w:num>
  <w:num w:numId="4">
    <w:abstractNumId w:val="11"/>
  </w:num>
  <w:num w:numId="5">
    <w:abstractNumId w:val="1"/>
  </w:num>
  <w:num w:numId="6">
    <w:abstractNumId w:val="7"/>
  </w:num>
  <w:num w:numId="7">
    <w:abstractNumId w:val="5"/>
  </w:num>
  <w:num w:numId="8">
    <w:abstractNumId w:val="2"/>
  </w:num>
  <w:num w:numId="9">
    <w:abstractNumId w:val="0"/>
  </w:num>
  <w:num w:numId="10">
    <w:abstractNumId w:val="9"/>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640"/>
    <w:rsid w:val="0006185A"/>
    <w:rsid w:val="000A39FD"/>
    <w:rsid w:val="000B1599"/>
    <w:rsid w:val="000B70EE"/>
    <w:rsid w:val="00103EF6"/>
    <w:rsid w:val="0010594D"/>
    <w:rsid w:val="0012231E"/>
    <w:rsid w:val="001665B4"/>
    <w:rsid w:val="00172A27"/>
    <w:rsid w:val="001768FE"/>
    <w:rsid w:val="001924F7"/>
    <w:rsid w:val="00193046"/>
    <w:rsid w:val="001962B5"/>
    <w:rsid w:val="001B502E"/>
    <w:rsid w:val="001B71B6"/>
    <w:rsid w:val="001D3226"/>
    <w:rsid w:val="00283D2D"/>
    <w:rsid w:val="002961AC"/>
    <w:rsid w:val="002B4DB7"/>
    <w:rsid w:val="002B76EB"/>
    <w:rsid w:val="00301063"/>
    <w:rsid w:val="003161BA"/>
    <w:rsid w:val="003209BE"/>
    <w:rsid w:val="00324214"/>
    <w:rsid w:val="0033137D"/>
    <w:rsid w:val="00341327"/>
    <w:rsid w:val="00362C83"/>
    <w:rsid w:val="003678C8"/>
    <w:rsid w:val="00395F21"/>
    <w:rsid w:val="003C2825"/>
    <w:rsid w:val="003E6A8F"/>
    <w:rsid w:val="0040667D"/>
    <w:rsid w:val="00422D64"/>
    <w:rsid w:val="004735F6"/>
    <w:rsid w:val="004A4A9D"/>
    <w:rsid w:val="004B3D08"/>
    <w:rsid w:val="004C2775"/>
    <w:rsid w:val="00502841"/>
    <w:rsid w:val="00537F2E"/>
    <w:rsid w:val="0055783E"/>
    <w:rsid w:val="00572097"/>
    <w:rsid w:val="0059672B"/>
    <w:rsid w:val="005B065E"/>
    <w:rsid w:val="005D51E5"/>
    <w:rsid w:val="005F37A4"/>
    <w:rsid w:val="006412F1"/>
    <w:rsid w:val="00642C92"/>
    <w:rsid w:val="0064579E"/>
    <w:rsid w:val="00704DEC"/>
    <w:rsid w:val="00724E53"/>
    <w:rsid w:val="00744316"/>
    <w:rsid w:val="007A1EAD"/>
    <w:rsid w:val="007D26C6"/>
    <w:rsid w:val="007E3016"/>
    <w:rsid w:val="007E7A15"/>
    <w:rsid w:val="0080439B"/>
    <w:rsid w:val="00820E09"/>
    <w:rsid w:val="008638F3"/>
    <w:rsid w:val="0088742D"/>
    <w:rsid w:val="00890F3B"/>
    <w:rsid w:val="008F30BC"/>
    <w:rsid w:val="008F3CF6"/>
    <w:rsid w:val="00905120"/>
    <w:rsid w:val="0096015E"/>
    <w:rsid w:val="0096044C"/>
    <w:rsid w:val="00977E1E"/>
    <w:rsid w:val="009810D9"/>
    <w:rsid w:val="00985005"/>
    <w:rsid w:val="00994FA5"/>
    <w:rsid w:val="009A7CD4"/>
    <w:rsid w:val="009F756D"/>
    <w:rsid w:val="00A40102"/>
    <w:rsid w:val="00A50086"/>
    <w:rsid w:val="00A92A85"/>
    <w:rsid w:val="00AC2E34"/>
    <w:rsid w:val="00AC4CB5"/>
    <w:rsid w:val="00B03CE5"/>
    <w:rsid w:val="00B15F57"/>
    <w:rsid w:val="00B63218"/>
    <w:rsid w:val="00B66CB1"/>
    <w:rsid w:val="00B86781"/>
    <w:rsid w:val="00BB0B7F"/>
    <w:rsid w:val="00C44FB8"/>
    <w:rsid w:val="00C65C1E"/>
    <w:rsid w:val="00C70248"/>
    <w:rsid w:val="00D44606"/>
    <w:rsid w:val="00D470E4"/>
    <w:rsid w:val="00D77101"/>
    <w:rsid w:val="00DA4E0C"/>
    <w:rsid w:val="00DE2C9E"/>
    <w:rsid w:val="00DE7753"/>
    <w:rsid w:val="00DE79EC"/>
    <w:rsid w:val="00DF0709"/>
    <w:rsid w:val="00DF3468"/>
    <w:rsid w:val="00DF75DB"/>
    <w:rsid w:val="00E31925"/>
    <w:rsid w:val="00E35DE6"/>
    <w:rsid w:val="00E501F6"/>
    <w:rsid w:val="00E57EFC"/>
    <w:rsid w:val="00E74F94"/>
    <w:rsid w:val="00E90A13"/>
    <w:rsid w:val="00EA5E98"/>
    <w:rsid w:val="00ED3CF1"/>
    <w:rsid w:val="00EE1D9D"/>
    <w:rsid w:val="00F263A0"/>
    <w:rsid w:val="00F416D8"/>
    <w:rsid w:val="00F500A7"/>
    <w:rsid w:val="00F509E9"/>
    <w:rsid w:val="00F51EC7"/>
    <w:rsid w:val="00F65BA8"/>
    <w:rsid w:val="00F74876"/>
    <w:rsid w:val="00FC6E1D"/>
    <w:rsid w:val="00FD22EE"/>
    <w:rsid w:val="00FD2DE4"/>
    <w:rsid w:val="00FF38B8"/>
    <w:rsid w:val="01764F01"/>
    <w:rsid w:val="024D6B6A"/>
    <w:rsid w:val="029B04E7"/>
    <w:rsid w:val="03073BDC"/>
    <w:rsid w:val="030C5976"/>
    <w:rsid w:val="033F44DC"/>
    <w:rsid w:val="043168B5"/>
    <w:rsid w:val="0555228E"/>
    <w:rsid w:val="059D1E39"/>
    <w:rsid w:val="05E078B3"/>
    <w:rsid w:val="05EE0985"/>
    <w:rsid w:val="06CF0607"/>
    <w:rsid w:val="077D0583"/>
    <w:rsid w:val="079724D0"/>
    <w:rsid w:val="082A352F"/>
    <w:rsid w:val="084A1A3D"/>
    <w:rsid w:val="08C349D1"/>
    <w:rsid w:val="08FD1F99"/>
    <w:rsid w:val="09F67CD5"/>
    <w:rsid w:val="0B584155"/>
    <w:rsid w:val="0B9E71DF"/>
    <w:rsid w:val="0C9D30C2"/>
    <w:rsid w:val="0D9D65F4"/>
    <w:rsid w:val="0E172BD0"/>
    <w:rsid w:val="0EDF02B5"/>
    <w:rsid w:val="10936355"/>
    <w:rsid w:val="10A50104"/>
    <w:rsid w:val="115B3410"/>
    <w:rsid w:val="119D7849"/>
    <w:rsid w:val="1242135C"/>
    <w:rsid w:val="13252E71"/>
    <w:rsid w:val="13A1683F"/>
    <w:rsid w:val="14960C8D"/>
    <w:rsid w:val="14DA3DA1"/>
    <w:rsid w:val="164E3EFE"/>
    <w:rsid w:val="16D12C9E"/>
    <w:rsid w:val="17155857"/>
    <w:rsid w:val="17950508"/>
    <w:rsid w:val="17AD7BB9"/>
    <w:rsid w:val="17D94C68"/>
    <w:rsid w:val="19010C43"/>
    <w:rsid w:val="19084C73"/>
    <w:rsid w:val="1A054259"/>
    <w:rsid w:val="1AA20BEC"/>
    <w:rsid w:val="1AFF4157"/>
    <w:rsid w:val="1B7F6005"/>
    <w:rsid w:val="1B9D73EE"/>
    <w:rsid w:val="1C132CB9"/>
    <w:rsid w:val="1CCC26CA"/>
    <w:rsid w:val="1E056606"/>
    <w:rsid w:val="1E9D6342"/>
    <w:rsid w:val="204E6676"/>
    <w:rsid w:val="2195668B"/>
    <w:rsid w:val="21BE5AD4"/>
    <w:rsid w:val="21EB72DE"/>
    <w:rsid w:val="23081A49"/>
    <w:rsid w:val="2334383D"/>
    <w:rsid w:val="23CE335E"/>
    <w:rsid w:val="245C52F8"/>
    <w:rsid w:val="2463385E"/>
    <w:rsid w:val="24905303"/>
    <w:rsid w:val="250D568B"/>
    <w:rsid w:val="25134332"/>
    <w:rsid w:val="257E508F"/>
    <w:rsid w:val="26BF5712"/>
    <w:rsid w:val="27AB7429"/>
    <w:rsid w:val="285C053E"/>
    <w:rsid w:val="29FA7F26"/>
    <w:rsid w:val="2A0F29F0"/>
    <w:rsid w:val="2B774832"/>
    <w:rsid w:val="2C3E7B79"/>
    <w:rsid w:val="2C946521"/>
    <w:rsid w:val="2CDE11E4"/>
    <w:rsid w:val="2EC55A3B"/>
    <w:rsid w:val="2F1251F2"/>
    <w:rsid w:val="2FCA63C6"/>
    <w:rsid w:val="30962F3E"/>
    <w:rsid w:val="30D17E68"/>
    <w:rsid w:val="30FF2795"/>
    <w:rsid w:val="31DD373A"/>
    <w:rsid w:val="329A6ACE"/>
    <w:rsid w:val="33607071"/>
    <w:rsid w:val="35812E47"/>
    <w:rsid w:val="35EB3B29"/>
    <w:rsid w:val="360B1D73"/>
    <w:rsid w:val="361F3323"/>
    <w:rsid w:val="36E93760"/>
    <w:rsid w:val="377E620D"/>
    <w:rsid w:val="3784394E"/>
    <w:rsid w:val="38AE3BB0"/>
    <w:rsid w:val="395B7CAB"/>
    <w:rsid w:val="3ACB5746"/>
    <w:rsid w:val="3BB20883"/>
    <w:rsid w:val="3C935077"/>
    <w:rsid w:val="3CCC3EC3"/>
    <w:rsid w:val="3CD06756"/>
    <w:rsid w:val="3DA8275C"/>
    <w:rsid w:val="3E441C7D"/>
    <w:rsid w:val="3E622195"/>
    <w:rsid w:val="3FC956FF"/>
    <w:rsid w:val="40A36A71"/>
    <w:rsid w:val="410E4736"/>
    <w:rsid w:val="41D3631F"/>
    <w:rsid w:val="41F466FD"/>
    <w:rsid w:val="42A67A24"/>
    <w:rsid w:val="42D846B9"/>
    <w:rsid w:val="430D7A82"/>
    <w:rsid w:val="43A55B32"/>
    <w:rsid w:val="440D5045"/>
    <w:rsid w:val="44F3408E"/>
    <w:rsid w:val="45BE6191"/>
    <w:rsid w:val="460C5979"/>
    <w:rsid w:val="47C01792"/>
    <w:rsid w:val="4808150F"/>
    <w:rsid w:val="49E9233D"/>
    <w:rsid w:val="4A42266B"/>
    <w:rsid w:val="4AAD1944"/>
    <w:rsid w:val="4AC31003"/>
    <w:rsid w:val="4AE93159"/>
    <w:rsid w:val="4BD0339A"/>
    <w:rsid w:val="4D462159"/>
    <w:rsid w:val="4D5C5FAC"/>
    <w:rsid w:val="4DB037C4"/>
    <w:rsid w:val="4DC605B6"/>
    <w:rsid w:val="4DEC0985"/>
    <w:rsid w:val="4E27683A"/>
    <w:rsid w:val="4E505B3E"/>
    <w:rsid w:val="4E731431"/>
    <w:rsid w:val="4F2765B1"/>
    <w:rsid w:val="4F285975"/>
    <w:rsid w:val="51796EDE"/>
    <w:rsid w:val="51867298"/>
    <w:rsid w:val="51AC0F10"/>
    <w:rsid w:val="52195EDF"/>
    <w:rsid w:val="52313387"/>
    <w:rsid w:val="529F0593"/>
    <w:rsid w:val="52E04D27"/>
    <w:rsid w:val="539A390F"/>
    <w:rsid w:val="53CF14EE"/>
    <w:rsid w:val="53DB3477"/>
    <w:rsid w:val="5482612A"/>
    <w:rsid w:val="54AF6B42"/>
    <w:rsid w:val="55DD6F2A"/>
    <w:rsid w:val="56E23970"/>
    <w:rsid w:val="577A3C7D"/>
    <w:rsid w:val="578F220A"/>
    <w:rsid w:val="57FC07D9"/>
    <w:rsid w:val="58500F22"/>
    <w:rsid w:val="591C0009"/>
    <w:rsid w:val="591D5203"/>
    <w:rsid w:val="5ACF0F3A"/>
    <w:rsid w:val="5C6B1600"/>
    <w:rsid w:val="5C921AD0"/>
    <w:rsid w:val="5DFD51DB"/>
    <w:rsid w:val="5E0D36E5"/>
    <w:rsid w:val="5E7F7360"/>
    <w:rsid w:val="5EB903DA"/>
    <w:rsid w:val="5FF53D41"/>
    <w:rsid w:val="60140907"/>
    <w:rsid w:val="607C3753"/>
    <w:rsid w:val="60C30855"/>
    <w:rsid w:val="61421EFD"/>
    <w:rsid w:val="615C5041"/>
    <w:rsid w:val="64934878"/>
    <w:rsid w:val="664805B8"/>
    <w:rsid w:val="690F418B"/>
    <w:rsid w:val="6A154B1E"/>
    <w:rsid w:val="6A766D87"/>
    <w:rsid w:val="6A7A2736"/>
    <w:rsid w:val="6A7B4B9C"/>
    <w:rsid w:val="6C89456C"/>
    <w:rsid w:val="6D663271"/>
    <w:rsid w:val="6F901B66"/>
    <w:rsid w:val="6FA629D4"/>
    <w:rsid w:val="6FC05247"/>
    <w:rsid w:val="6FD10552"/>
    <w:rsid w:val="70BB2EF0"/>
    <w:rsid w:val="728150B9"/>
    <w:rsid w:val="73414765"/>
    <w:rsid w:val="73455C21"/>
    <w:rsid w:val="73D425F7"/>
    <w:rsid w:val="750A2023"/>
    <w:rsid w:val="7676736A"/>
    <w:rsid w:val="76933951"/>
    <w:rsid w:val="76FA3873"/>
    <w:rsid w:val="771D661B"/>
    <w:rsid w:val="771F7714"/>
    <w:rsid w:val="77317864"/>
    <w:rsid w:val="777E145F"/>
    <w:rsid w:val="78782A0D"/>
    <w:rsid w:val="79A2171F"/>
    <w:rsid w:val="79A252FF"/>
    <w:rsid w:val="79D33056"/>
    <w:rsid w:val="7ADE0D63"/>
    <w:rsid w:val="7AED2D2F"/>
    <w:rsid w:val="7C26369C"/>
    <w:rsid w:val="7C9E5A24"/>
    <w:rsid w:val="7CAC00CB"/>
    <w:rsid w:val="7D575412"/>
    <w:rsid w:val="7D62117D"/>
    <w:rsid w:val="7DB275A7"/>
    <w:rsid w:val="7DB54254"/>
    <w:rsid w:val="7E3E1EF2"/>
    <w:rsid w:val="7E8070E2"/>
    <w:rsid w:val="7E951513"/>
    <w:rsid w:val="7ED001FD"/>
    <w:rsid w:val="7EF74FC9"/>
    <w:rsid w:val="7F894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6A70CC-DC02-45CA-BD58-42523CF47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Pr>
      <w:rFonts w:asciiTheme="majorHAnsi" w:eastAsia="黑体" w:hAnsiTheme="majorHAnsi" w:cstheme="majorBidi"/>
      <w:sz w:val="20"/>
    </w:rPr>
  </w:style>
  <w:style w:type="paragraph" w:styleId="a4">
    <w:name w:val="Document Map"/>
    <w:basedOn w:val="a"/>
    <w:link w:val="Char"/>
    <w:uiPriority w:val="99"/>
    <w:semiHidden/>
    <w:unhideWhenUsed/>
    <w:qFormat/>
    <w:rPr>
      <w:rFonts w:ascii="宋体"/>
      <w:sz w:val="18"/>
      <w:szCs w:val="18"/>
    </w:rPr>
  </w:style>
  <w:style w:type="paragraph" w:styleId="a5">
    <w:name w:val="Body Text"/>
    <w:basedOn w:val="a"/>
    <w:qFormat/>
    <w:pPr>
      <w:overflowPunct w:val="0"/>
      <w:autoSpaceDE w:val="0"/>
      <w:autoSpaceDN w:val="0"/>
      <w:adjustRightInd w:val="0"/>
      <w:textAlignment w:val="baseline"/>
    </w:pPr>
    <w:rPr>
      <w:rFonts w:eastAsia="MS Mincho"/>
    </w:rPr>
  </w:style>
  <w:style w:type="paragraph" w:styleId="30">
    <w:name w:val="toc 3"/>
    <w:basedOn w:val="a"/>
    <w:next w:val="a"/>
    <w:uiPriority w:val="39"/>
    <w:unhideWhenUsed/>
    <w:qFormat/>
    <w:pPr>
      <w:ind w:leftChars="400" w:left="880"/>
    </w:pPr>
    <w:rPr>
      <w:b/>
      <w:i/>
      <w:sz w:val="20"/>
    </w:rPr>
  </w:style>
  <w:style w:type="paragraph" w:styleId="a6">
    <w:name w:val="Balloon Text"/>
    <w:basedOn w:val="a"/>
    <w:link w:val="Char0"/>
    <w:uiPriority w:val="99"/>
    <w:semiHidden/>
    <w:unhideWhenUsed/>
    <w:qFormat/>
    <w:rPr>
      <w:sz w:val="18"/>
      <w:szCs w:val="18"/>
    </w:rPr>
  </w:style>
  <w:style w:type="paragraph" w:styleId="a7">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Pr>
      <w:b/>
      <w:i/>
      <w:sz w:val="20"/>
    </w:rPr>
  </w:style>
  <w:style w:type="paragraph" w:styleId="a8">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snapToGrid w:val="0"/>
      <w:ind w:leftChars="200" w:left="618"/>
    </w:pPr>
    <w:rPr>
      <w:b/>
      <w:i/>
      <w:sz w:val="20"/>
    </w:rPr>
  </w:style>
  <w:style w:type="paragraph" w:styleId="a9">
    <w:name w:val="Normal (Web)"/>
    <w:basedOn w:val="a"/>
    <w:uiPriority w:val="99"/>
    <w:semiHidden/>
    <w:unhideWhenUsed/>
    <w:qFormat/>
    <w:pPr>
      <w:spacing w:beforeLines="0" w:beforeAutospacing="1" w:afterLines="0" w:afterAutospacing="1"/>
      <w:jc w:val="left"/>
    </w:pPr>
    <w:rPr>
      <w:rFonts w:ascii="宋体" w:hAnsi="宋体" w:cs="宋体"/>
      <w:kern w:val="0"/>
      <w:sz w:val="24"/>
      <w:szCs w:val="24"/>
    </w:rPr>
  </w:style>
  <w:style w:type="table" w:styleId="aa">
    <w:name w:val="Table Grid"/>
    <w:basedOn w:val="a1"/>
    <w:uiPriority w:val="99"/>
    <w:semiHidden/>
    <w:unhideWhenUse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rPr>
  </w:style>
  <w:style w:type="character" w:styleId="ac">
    <w:name w:val="Emphasis"/>
    <w:basedOn w:val="a0"/>
    <w:uiPriority w:val="20"/>
    <w:qFormat/>
    <w:rPr>
      <w:i/>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2"/>
      </w:numPr>
      <w:snapToGrid w:val="0"/>
      <w:spacing w:before="50" w:after="50"/>
      <w:ind w:left="0" w:firstLine="0"/>
      <w:jc w:val="left"/>
      <w:textAlignment w:val="center"/>
    </w:pPr>
    <w:rPr>
      <w:rFonts w:eastAsiaTheme="minorEastAsia" w:cs="宋体"/>
      <w:b/>
      <w:bCs/>
      <w:i/>
      <w:iCs/>
      <w:sz w:val="20"/>
      <w:lang w:val="en-GB" w:eastAsia="en-US"/>
    </w:rPr>
  </w:style>
  <w:style w:type="paragraph" w:customStyle="1" w:styleId="ZTE-Proposal-20210505">
    <w:name w:val="!ZTE-Proposal-2021 + 段前: 0.5 行 段后: 0.5 行"/>
    <w:basedOn w:val="a"/>
    <w:qFormat/>
    <w:pPr>
      <w:numPr>
        <w:numId w:val="3"/>
      </w:numPr>
      <w:spacing w:before="50" w:after="50"/>
      <w:ind w:left="0" w:firstLine="0"/>
      <w:jc w:val="left"/>
    </w:pPr>
    <w:rPr>
      <w:rFonts w:eastAsiaTheme="minorEastAsia" w:cs="宋体"/>
      <w:b/>
      <w:bCs/>
      <w:i/>
      <w:iCs/>
      <w:sz w:val="20"/>
      <w:lang w:val="en-GB" w:eastAsia="en-US"/>
    </w:rPr>
  </w:style>
  <w:style w:type="paragraph" w:customStyle="1" w:styleId="sub-proposal">
    <w:name w:val="sub-proposal"/>
    <w:basedOn w:val="a"/>
    <w:qFormat/>
    <w:pPr>
      <w:numPr>
        <w:numId w:val="4"/>
      </w:numPr>
      <w:tabs>
        <w:tab w:val="clear" w:pos="1260"/>
        <w:tab w:val="left" w:pos="0"/>
        <w:tab w:val="left" w:pos="420"/>
        <w:tab w:val="left" w:pos="807"/>
      </w:tabs>
      <w:jc w:val="left"/>
    </w:pPr>
    <w:rPr>
      <w:rFonts w:eastAsiaTheme="minorEastAsia"/>
      <w:b/>
      <w:bCs/>
      <w:i/>
      <w:iCs/>
      <w:sz w:val="20"/>
      <w:lang w:val="en-GB" w:eastAsia="en-U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5"/>
      </w:numPr>
    </w:pPr>
  </w:style>
  <w:style w:type="paragraph" w:customStyle="1" w:styleId="3rdlevelobservation">
    <w:name w:val="3rd level observation"/>
    <w:basedOn w:val="sub-observation"/>
    <w:qFormat/>
    <w:pPr>
      <w:numPr>
        <w:numId w:val="6"/>
      </w:numPr>
    </w:pPr>
  </w:style>
  <w:style w:type="paragraph" w:customStyle="1" w:styleId="References">
    <w:name w:val="References"/>
    <w:basedOn w:val="a"/>
    <w:qFormat/>
    <w:pPr>
      <w:numPr>
        <w:numId w:val="7"/>
      </w:numPr>
      <w:spacing w:after="60"/>
    </w:pPr>
    <w:rPr>
      <w:szCs w:val="16"/>
    </w:rPr>
  </w:style>
  <w:style w:type="paragraph" w:styleId="ad">
    <w:name w:val="List Paragraph"/>
    <w:basedOn w:val="a"/>
    <w:link w:val="Char2"/>
    <w:uiPriority w:val="34"/>
    <w:qFormat/>
    <w:pPr>
      <w:spacing w:beforeLines="0"/>
      <w:ind w:left="720"/>
      <w:contextualSpacing/>
    </w:pPr>
    <w:rPr>
      <w:rFonts w:eastAsia="Times New Roman"/>
      <w:sz w:val="24"/>
      <w:szCs w:val="24"/>
    </w:rPr>
  </w:style>
  <w:style w:type="character" w:customStyle="1" w:styleId="Char1">
    <w:name w:val="页眉 Char"/>
    <w:basedOn w:val="a0"/>
    <w:link w:val="a7"/>
    <w:uiPriority w:val="99"/>
    <w:qFormat/>
    <w:rPr>
      <w:kern w:val="2"/>
      <w:sz w:val="18"/>
      <w:szCs w:val="18"/>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2">
    <w:name w:val="列出段落 Char"/>
    <w:link w:val="ad"/>
    <w:uiPriority w:val="34"/>
    <w:qFormat/>
    <w:locked/>
    <w:rPr>
      <w:rFonts w:eastAsia="Times New Roman"/>
      <w:kern w:val="2"/>
      <w:sz w:val="24"/>
      <w:szCs w:val="24"/>
    </w:rPr>
  </w:style>
  <w:style w:type="character" w:customStyle="1" w:styleId="apple-converted-space">
    <w:name w:val="apple-converted-space"/>
    <w:qFormat/>
  </w:style>
  <w:style w:type="character" w:customStyle="1" w:styleId="Char0">
    <w:name w:val="批注框文本 Char"/>
    <w:basedOn w:val="a0"/>
    <w:link w:val="a6"/>
    <w:uiPriority w:val="99"/>
    <w:semiHidden/>
    <w:qFormat/>
    <w:rPr>
      <w:kern w:val="2"/>
      <w:sz w:val="18"/>
      <w:szCs w:val="18"/>
    </w:rPr>
  </w:style>
  <w:style w:type="character" w:customStyle="1" w:styleId="11">
    <w:name w:val="不明显强调1"/>
    <w:basedOn w:val="a0"/>
    <w:uiPriority w:val="19"/>
    <w:qFormat/>
    <w:rPr>
      <w:i/>
      <w:iCs/>
      <w:color w:val="7F7F7F" w:themeColor="text1" w:themeTint="80"/>
    </w:rPr>
  </w:style>
  <w:style w:type="paragraph" w:customStyle="1" w:styleId="ListParagraph1">
    <w:name w:val="List Paragraph1"/>
    <w:basedOn w:val="a"/>
    <w:qFormat/>
    <w:pPr>
      <w:spacing w:beforeLines="0" w:beforeAutospacing="1" w:afterLines="0" w:afterAutospacing="1"/>
      <w:ind w:leftChars="400" w:left="840"/>
      <w:jc w:val="left"/>
    </w:pPr>
    <w:rPr>
      <w:rFonts w:ascii="Times" w:eastAsia="Batang" w:hAnsi="Times"/>
      <w:kern w:val="0"/>
      <w:sz w:val="24"/>
      <w:szCs w:val="24"/>
    </w:rPr>
  </w:style>
  <w:style w:type="paragraph" w:customStyle="1" w:styleId="ListParagraph2">
    <w:name w:val="List Paragraph2"/>
    <w:basedOn w:val="a"/>
    <w:qFormat/>
    <w:pPr>
      <w:spacing w:beforeLines="0" w:beforeAutospacing="1" w:afterLines="0" w:afterAutospacing="1"/>
      <w:ind w:leftChars="400" w:left="840"/>
      <w:jc w:val="left"/>
    </w:pPr>
    <w:rPr>
      <w:rFonts w:ascii="Times" w:eastAsia="Batang" w:hAnsi="Times"/>
      <w:kern w:val="0"/>
      <w:sz w:val="24"/>
      <w:szCs w:val="24"/>
    </w:rPr>
  </w:style>
  <w:style w:type="character" w:customStyle="1" w:styleId="y2iqfc">
    <w:name w:val="y2iqfc"/>
    <w:basedOn w:val="a0"/>
    <w:qFormat/>
  </w:style>
  <w:style w:type="paragraph" w:customStyle="1" w:styleId="Proposal">
    <w:name w:val="Proposal"/>
    <w:basedOn w:val="a5"/>
    <w:next w:val="a"/>
    <w:qFormat/>
    <w:pPr>
      <w:numPr>
        <w:numId w:val="8"/>
      </w:numPr>
      <w:tabs>
        <w:tab w:val="left" w:pos="1701"/>
      </w:tabs>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1ADDD4-A35E-4BFE-A7D7-2036C2A0D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1469</Words>
  <Characters>8378</Characters>
  <Application>Microsoft Office Word</Application>
  <DocSecurity>0</DocSecurity>
  <Lines>69</Lines>
  <Paragraphs>19</Paragraphs>
  <ScaleCrop>false</ScaleCrop>
  <Company>ZTE</Company>
  <LinksUpToDate>false</LinksUpToDate>
  <CharactersWithSpaces>9828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2</cp:revision>
  <dcterms:created xsi:type="dcterms:W3CDTF">2022-03-11T05:31:00Z</dcterms:created>
  <dcterms:modified xsi:type="dcterms:W3CDTF">2022-03-11T05:31:00Z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